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Default="00E3647B" w:rsidP="00222FB5">
            <w:r>
              <w:t>Voertouwen vervangen PDS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E3647B" w:rsidP="0064723C">
            <w:r>
              <w:t>Eric van Reenen</w:t>
            </w:r>
          </w:p>
        </w:tc>
      </w:tr>
      <w:tr w:rsidR="00B93AA5" w:rsidTr="00D841BB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221B88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221B88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221B88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221B88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221B88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221B88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:rsidTr="00D841BB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D841BB">
        <w:trPr>
          <w:trHeight w:val="1402"/>
        </w:trPr>
        <w:tc>
          <w:tcPr>
            <w:tcW w:w="597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65AD34D" wp14:editId="6568DC21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2D1CFCF" wp14:editId="461DE84E">
                  <wp:extent cx="855540" cy="864000"/>
                  <wp:effectExtent l="0" t="0" r="190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54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465C358" wp14:editId="4F03CAA1">
                  <wp:extent cx="588452" cy="864000"/>
                  <wp:effectExtent l="0" t="0" r="254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52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461D22" w:rsidRDefault="00461D22" w:rsidP="00461D22">
            <w:r>
              <w:t>Verzamel het nodige materiaal</w:t>
            </w:r>
          </w:p>
          <w:p w:rsidR="0052082A" w:rsidRDefault="00E3647B" w:rsidP="00E3647B">
            <w:pPr>
              <w:pStyle w:val="Lijstalinea"/>
              <w:numPr>
                <w:ilvl w:val="0"/>
                <w:numId w:val="8"/>
              </w:numPr>
            </w:pPr>
            <w:r>
              <w:t>Tornkabel PM</w:t>
            </w:r>
          </w:p>
          <w:p w:rsidR="00A54461" w:rsidRDefault="00A54461" w:rsidP="00A54461">
            <w:pPr>
              <w:pStyle w:val="Lijstalinea"/>
              <w:numPr>
                <w:ilvl w:val="0"/>
                <w:numId w:val="8"/>
              </w:numPr>
            </w:pPr>
            <w:r>
              <w:t>Voertouwwagen met voldoende roze en geel voertouw</w:t>
            </w:r>
          </w:p>
          <w:p w:rsidR="00E3647B" w:rsidRDefault="00A54461" w:rsidP="00E3647B">
            <w:pPr>
              <w:pStyle w:val="Lijstalinea"/>
              <w:numPr>
                <w:ilvl w:val="0"/>
                <w:numId w:val="8"/>
              </w:numPr>
            </w:pPr>
            <w:r>
              <w:t>Lasnaald</w:t>
            </w:r>
          </w:p>
          <w:p w:rsidR="00F31D02" w:rsidRDefault="00F31D02" w:rsidP="00E3647B">
            <w:pPr>
              <w:pStyle w:val="Lijstalinea"/>
              <w:numPr>
                <w:ilvl w:val="0"/>
                <w:numId w:val="8"/>
              </w:numPr>
            </w:pPr>
            <w:r>
              <w:t>Stift</w:t>
            </w:r>
          </w:p>
          <w:p w:rsidR="00E3647B" w:rsidRPr="00664DB7" w:rsidRDefault="00A54461" w:rsidP="00221B88">
            <w:pPr>
              <w:pStyle w:val="Lijstalinea"/>
              <w:numPr>
                <w:ilvl w:val="0"/>
                <w:numId w:val="8"/>
              </w:numPr>
            </w:pPr>
            <w:r>
              <w:t>Schaar</w:t>
            </w:r>
            <w:bookmarkStart w:id="0" w:name="_GoBack"/>
            <w:bookmarkEnd w:id="0"/>
          </w:p>
        </w:tc>
        <w:tc>
          <w:tcPr>
            <w:tcW w:w="5103" w:type="dxa"/>
            <w:gridSpan w:val="3"/>
          </w:tcPr>
          <w:p w:rsidR="0052082A" w:rsidRPr="00664DB7" w:rsidRDefault="00A54461" w:rsidP="005B5041">
            <w:r>
              <w:rPr>
                <w:noProof/>
                <w:lang w:eastAsia="nl-NL"/>
              </w:rPr>
              <w:drawing>
                <wp:inline distT="0" distB="0" distL="0" distR="0">
                  <wp:extent cx="674999" cy="900000"/>
                  <wp:effectExtent l="0" t="0" r="0" b="0"/>
                  <wp:docPr id="1" name="Afbeelding 1" descr="C:\Users\reener\AppData\Local\Microsoft\Windows\Temporary Internet Files\Content.Word\IMG-20201217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ener\AppData\Local\Microsoft\Windows\Temporary Internet Files\Content.Word\IMG-20201217-W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74999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nl-NL"/>
              </w:rPr>
              <w:drawing>
                <wp:inline distT="0" distB="0" distL="0" distR="0">
                  <wp:extent cx="675000" cy="900000"/>
                  <wp:effectExtent l="0" t="0" r="0" b="0"/>
                  <wp:docPr id="3" name="Afbeelding 3" descr="C:\Users\reener\AppData\Local\Microsoft\Windows\Temporary Internet Files\Content.Word\IMG-20201217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ener\AppData\Local\Microsoft\Windows\Temporary Internet Files\Content.Word\IMG-20201217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nl-NL"/>
              </w:rPr>
              <w:drawing>
                <wp:inline distT="0" distB="0" distL="0" distR="0">
                  <wp:extent cx="1200000" cy="900000"/>
                  <wp:effectExtent l="0" t="0" r="635" b="0"/>
                  <wp:docPr id="4" name="Afbeelding 4" descr="C:\Users\reener\AppData\Local\Microsoft\Windows\Temporary Internet Files\Content.Word\IMG-20201217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eener\AppData\Local\Microsoft\Windows\Temporary Internet Files\Content.Word\IMG-20201217-WA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2082A" w:rsidRPr="00664DB7" w:rsidRDefault="0052082A" w:rsidP="00664DB7"/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52082A" w:rsidRPr="00664DB7" w:rsidRDefault="00CF2433" w:rsidP="00CF2433">
            <w:r>
              <w:t>Als PDS stilstaat de tornkabel op de drooggroep aansluiten waarvan de touwen vervangen moeten worden, vervolgens bedieningskast van tornkabel naar beneden begeleiden.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664DB7" w:rsidRDefault="0052082A" w:rsidP="00053535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664DB7" w:rsidRPr="00664DB7" w:rsidRDefault="00CF2433" w:rsidP="00CF2433">
            <w:r>
              <w:t xml:space="preserve">Ontspan </w:t>
            </w:r>
            <w:r w:rsidRPr="00CF2433">
              <w:rPr>
                <w:b/>
                <w:i/>
                <w:u w:val="single"/>
              </w:rPr>
              <w:t>1</w:t>
            </w:r>
            <w:r>
              <w:t xml:space="preserve"> van de touwen, zorg dat de spancilinder maximaal ontspannen is. Knip het ontspannen touw door en knoop het nieuwe touw aan het oude touw zodat met </w:t>
            </w:r>
            <w:r w:rsidRPr="00CF2433">
              <w:rPr>
                <w:b/>
                <w:i/>
                <w:u w:val="single"/>
              </w:rPr>
              <w:t>vooruit</w:t>
            </w:r>
            <w:r>
              <w:t xml:space="preserve"> tornen het nieuwe touw de machine ingetrokken wordt.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CF243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:rsidR="00664DB7" w:rsidRPr="00664DB7" w:rsidRDefault="00CF2433" w:rsidP="00B93AA5">
            <w:r>
              <w:t xml:space="preserve">Laat de machine nu tornen en houd het oude touw altijd onder spanning door er aan te trekken, rem ook de afwikkelende klos touw zodat </w:t>
            </w:r>
            <w:r w:rsidR="00032611">
              <w:t xml:space="preserve">het nieuwe </w:t>
            </w:r>
            <w:r>
              <w:t>touw str</w:t>
            </w:r>
            <w:r w:rsidR="00032611">
              <w:t xml:space="preserve">ak in de machine loop en niet van </w:t>
            </w:r>
            <w:proofErr w:type="spellStart"/>
            <w:r w:rsidR="00032611">
              <w:t>touwleidwielen</w:t>
            </w:r>
            <w:proofErr w:type="spellEnd"/>
            <w:r w:rsidR="00032611">
              <w:t xml:space="preserve"> afloopt.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032611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:rsidR="00664DB7" w:rsidRPr="00664DB7" w:rsidRDefault="00032611" w:rsidP="00F31D02">
            <w:r>
              <w:t>Stop met tornen als het nieuwe touw helemaal door de machine is en maak de “las” volgens instructie van touwleverancier</w:t>
            </w:r>
            <w:r w:rsidR="00E40276">
              <w:t xml:space="preserve">: </w:t>
            </w:r>
            <w:hyperlink r:id="rId15" w:history="1">
              <w:r w:rsidR="00F31D02" w:rsidRPr="00F31D02">
                <w:rPr>
                  <w:rStyle w:val="Hyperlink"/>
                </w:rPr>
                <w:t xml:space="preserve">N:\Dep\Production\PM2\03 </w:t>
              </w:r>
              <w:proofErr w:type="spellStart"/>
              <w:r w:rsidR="00F31D02" w:rsidRPr="00F31D02">
                <w:rPr>
                  <w:rStyle w:val="Hyperlink"/>
                </w:rPr>
                <w:t>Eff</w:t>
              </w:r>
              <w:proofErr w:type="spellEnd"/>
              <w:r w:rsidR="00F31D02" w:rsidRPr="00F31D02">
                <w:rPr>
                  <w:rStyle w:val="Hyperlink"/>
                </w:rPr>
                <w:t xml:space="preserve"> team\10 Training\Voertouwen lassen_splitsen.1.pdf</w:t>
              </w:r>
            </w:hyperlink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F31D02" w:rsidRPr="00664DB7" w:rsidTr="004359CB">
        <w:trPr>
          <w:trHeight w:val="262"/>
        </w:trPr>
        <w:tc>
          <w:tcPr>
            <w:tcW w:w="597" w:type="dxa"/>
            <w:vAlign w:val="center"/>
          </w:tcPr>
          <w:p w:rsidR="00F31D02" w:rsidRDefault="00F31D0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:rsidR="00F31D02" w:rsidRDefault="00F31D02" w:rsidP="00F31D02">
            <w:r>
              <w:t xml:space="preserve">Span het nieuwe voertouw en check of het nieuwe voertouw </w:t>
            </w:r>
            <w:r>
              <w:lastRenderedPageBreak/>
              <w:t>goed op de cilinders en op de juiste schijven ligt.</w:t>
            </w:r>
          </w:p>
        </w:tc>
        <w:tc>
          <w:tcPr>
            <w:tcW w:w="5103" w:type="dxa"/>
            <w:gridSpan w:val="3"/>
          </w:tcPr>
          <w:p w:rsidR="00F31D02" w:rsidRPr="00664DB7" w:rsidRDefault="00F31D02" w:rsidP="00664DB7"/>
        </w:tc>
        <w:tc>
          <w:tcPr>
            <w:tcW w:w="4366" w:type="dxa"/>
            <w:vAlign w:val="center"/>
          </w:tcPr>
          <w:p w:rsidR="00F31D02" w:rsidRPr="00664DB7" w:rsidRDefault="00F31D02" w:rsidP="00BD663F"/>
        </w:tc>
      </w:tr>
      <w:tr w:rsidR="00F31D02" w:rsidRPr="00664DB7" w:rsidTr="004359CB">
        <w:trPr>
          <w:trHeight w:val="262"/>
        </w:trPr>
        <w:tc>
          <w:tcPr>
            <w:tcW w:w="597" w:type="dxa"/>
            <w:vAlign w:val="center"/>
          </w:tcPr>
          <w:p w:rsidR="00F31D02" w:rsidRDefault="00F31D0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7</w:t>
            </w:r>
          </w:p>
        </w:tc>
        <w:tc>
          <w:tcPr>
            <w:tcW w:w="5924" w:type="dxa"/>
            <w:vAlign w:val="center"/>
          </w:tcPr>
          <w:p w:rsidR="00F31D02" w:rsidRDefault="00F31D02" w:rsidP="00F31D02">
            <w:r>
              <w:t>Vervolgens voor het andere touw de stappen 3 t/m 6 herhalen.</w:t>
            </w:r>
          </w:p>
        </w:tc>
        <w:tc>
          <w:tcPr>
            <w:tcW w:w="5103" w:type="dxa"/>
            <w:gridSpan w:val="3"/>
          </w:tcPr>
          <w:p w:rsidR="00F31D02" w:rsidRPr="00664DB7" w:rsidRDefault="00F31D02" w:rsidP="00664DB7"/>
        </w:tc>
        <w:tc>
          <w:tcPr>
            <w:tcW w:w="4366" w:type="dxa"/>
            <w:vAlign w:val="center"/>
          </w:tcPr>
          <w:p w:rsidR="00F31D02" w:rsidRPr="00664DB7" w:rsidRDefault="00F31D02" w:rsidP="00BD663F"/>
        </w:tc>
      </w:tr>
      <w:tr w:rsidR="00F31D02" w:rsidRPr="00664DB7" w:rsidTr="004359CB">
        <w:trPr>
          <w:trHeight w:val="262"/>
        </w:trPr>
        <w:tc>
          <w:tcPr>
            <w:tcW w:w="597" w:type="dxa"/>
            <w:vAlign w:val="center"/>
          </w:tcPr>
          <w:p w:rsidR="00F31D02" w:rsidRDefault="00F31D0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5924" w:type="dxa"/>
            <w:vAlign w:val="center"/>
          </w:tcPr>
          <w:p w:rsidR="00F31D02" w:rsidRDefault="00F31D02" w:rsidP="00F31D02">
            <w:r>
              <w:t>Laat de droogpartij tornen en check nogmaals de hele voertouw-loop.</w:t>
            </w:r>
          </w:p>
        </w:tc>
        <w:tc>
          <w:tcPr>
            <w:tcW w:w="5103" w:type="dxa"/>
            <w:gridSpan w:val="3"/>
          </w:tcPr>
          <w:p w:rsidR="00F31D02" w:rsidRPr="00664DB7" w:rsidRDefault="00F31D02" w:rsidP="00664DB7"/>
        </w:tc>
        <w:tc>
          <w:tcPr>
            <w:tcW w:w="4366" w:type="dxa"/>
            <w:vAlign w:val="center"/>
          </w:tcPr>
          <w:p w:rsidR="00F31D02" w:rsidRPr="00664DB7" w:rsidRDefault="00F31D02" w:rsidP="00BD663F"/>
        </w:tc>
      </w:tr>
      <w:tr w:rsidR="00F31D02" w:rsidRPr="00664DB7" w:rsidTr="004359CB">
        <w:trPr>
          <w:trHeight w:val="262"/>
        </w:trPr>
        <w:tc>
          <w:tcPr>
            <w:tcW w:w="597" w:type="dxa"/>
            <w:vAlign w:val="center"/>
          </w:tcPr>
          <w:p w:rsidR="00F31D02" w:rsidRDefault="00F31D02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F31D02" w:rsidRDefault="00F31D02" w:rsidP="00F31D02"/>
        </w:tc>
        <w:tc>
          <w:tcPr>
            <w:tcW w:w="5103" w:type="dxa"/>
            <w:gridSpan w:val="3"/>
          </w:tcPr>
          <w:p w:rsidR="00F31D02" w:rsidRPr="00664DB7" w:rsidRDefault="00F31D02" w:rsidP="00664DB7"/>
        </w:tc>
        <w:tc>
          <w:tcPr>
            <w:tcW w:w="4366" w:type="dxa"/>
            <w:vAlign w:val="center"/>
          </w:tcPr>
          <w:p w:rsidR="00F31D02" w:rsidRPr="00664DB7" w:rsidRDefault="00F31D02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16"/>
      <w:footerReference w:type="default" r:id="rId17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221B88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221B88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6440C"/>
    <w:multiLevelType w:val="hybridMultilevel"/>
    <w:tmpl w:val="828E12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32611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1B88"/>
    <w:rsid w:val="00222FB5"/>
    <w:rsid w:val="00243584"/>
    <w:rsid w:val="002A6708"/>
    <w:rsid w:val="00320430"/>
    <w:rsid w:val="003309D7"/>
    <w:rsid w:val="00361B47"/>
    <w:rsid w:val="00372DCD"/>
    <w:rsid w:val="0037639D"/>
    <w:rsid w:val="003D2D37"/>
    <w:rsid w:val="00461D22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54461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663F"/>
    <w:rsid w:val="00C0091F"/>
    <w:rsid w:val="00C031AF"/>
    <w:rsid w:val="00C11468"/>
    <w:rsid w:val="00C6637B"/>
    <w:rsid w:val="00CE45C4"/>
    <w:rsid w:val="00CF2433"/>
    <w:rsid w:val="00D311B0"/>
    <w:rsid w:val="00D56C3E"/>
    <w:rsid w:val="00D841BB"/>
    <w:rsid w:val="00DB3AA0"/>
    <w:rsid w:val="00E34356"/>
    <w:rsid w:val="00E3647B"/>
    <w:rsid w:val="00E40276"/>
    <w:rsid w:val="00E80819"/>
    <w:rsid w:val="00EC1519"/>
    <w:rsid w:val="00ED2C69"/>
    <w:rsid w:val="00EE67B9"/>
    <w:rsid w:val="00EE7A47"/>
    <w:rsid w:val="00F01D46"/>
    <w:rsid w:val="00F06622"/>
    <w:rsid w:val="00F31D0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4027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31D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4027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31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N:\Dep\Production\PM2\03%20Eff%20team\10%20Training\Voertouwen%20lassen_splitsen.1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E631F-C4E7-4763-831E-C217019E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Eerden, Jacques van der (PARENCO)</dc:creator>
  <cp:lastModifiedBy>Eric van Reenen</cp:lastModifiedBy>
  <cp:revision>5</cp:revision>
  <cp:lastPrinted>2020-07-20T12:52:00Z</cp:lastPrinted>
  <dcterms:created xsi:type="dcterms:W3CDTF">2020-12-17T10:25:00Z</dcterms:created>
  <dcterms:modified xsi:type="dcterms:W3CDTF">2020-12-23T08:49:00Z</dcterms:modified>
</cp:coreProperties>
</file>