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15:</w:t>
      </w:r>
      <w:r>
        <w:t xml:space="preserve"> </w:t>
      </w:r>
      <w:r>
        <w:t xml:space="preserve">Inference</w:t>
      </w:r>
      <w:r>
        <w:t xml:space="preserve"> </w:t>
      </w:r>
      <w:r>
        <w:t xml:space="preserve">in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s"/>
      <w:r>
        <w:t xml:space="preserve">Learning 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how to make a confidence interval more narrow</w:t>
      </w:r>
    </w:p>
    <w:p>
      <w:pPr>
        <w:pStyle w:val="Compact"/>
        <w:numPr>
          <w:numId w:val="1001"/>
          <w:ilvl w:val="0"/>
        </w:numPr>
      </w:pPr>
      <w:r>
        <w:t xml:space="preserve">Define p-hacking and know some issues with relying on p-values when performing</w:t>
      </w:r>
      <w:r>
        <w:t xml:space="preserve"> </w:t>
      </w:r>
      <w:r>
        <w:t xml:space="preserve">research</w:t>
      </w:r>
    </w:p>
    <w:p>
      <w:pPr>
        <w:pStyle w:val="Compact"/>
        <w:numPr>
          <w:numId w:val="1001"/>
          <w:ilvl w:val="0"/>
        </w:numPr>
      </w:pPr>
      <w:r>
        <w:t xml:space="preserve">Calculate what sample size is required for a given margin of error or confidence</w:t>
      </w:r>
      <w:r>
        <w:t xml:space="preserve"> </w:t>
      </w:r>
      <w:r>
        <w:t xml:space="preserve">interval width</w:t>
      </w:r>
    </w:p>
    <w:p>
      <w:pPr>
        <w:pStyle w:val="Compact"/>
        <w:numPr>
          <w:numId w:val="1001"/>
          <w:ilvl w:val="0"/>
        </w:numPr>
      </w:pPr>
      <w:r>
        <w:t xml:space="preserve">Define statistical power and know how to calculate it</w:t>
      </w:r>
    </w:p>
    <w:p>
      <w:pPr>
        <w:pStyle w:val="Compact"/>
        <w:numPr>
          <w:numId w:val="1001"/>
          <w:ilvl w:val="0"/>
        </w:numPr>
      </w:pPr>
      <w:r>
        <w:t xml:space="preserve">Define type I and type II error</w:t>
      </w:r>
    </w:p>
    <w:p>
      <w:pPr>
        <w:pStyle w:val="Heading3"/>
      </w:pPr>
      <w:bookmarkStart w:id="21" w:name="readings"/>
      <w:r>
        <w:t xml:space="preserve">Readings</w:t>
      </w:r>
      <w:bookmarkEnd w:id="21"/>
    </w:p>
    <w:p>
      <w:pPr>
        <w:pStyle w:val="Compact"/>
      </w:pPr>
      <w:r>
        <w:rPr>
          <w:b/>
        </w:rPr>
        <w:t xml:space="preserve">Type I and Type II error</w:t>
      </w:r>
    </w:p>
    <w:p>
      <w:pPr>
        <w:pStyle w:val="Compact"/>
      </w:pPr>
      <w:hyperlink r:id="rId22">
        <w:r>
          <w:rPr>
            <w:rStyle w:val="Hyperlink"/>
          </w:rPr>
          <w:t xml:space="preserve">https://learningstatisticswithr.com/lsr-0.6.pdf</w:t>
        </w:r>
      </w:hyperlink>
      <w:r>
        <w:t xml:space="preserve"> </w:t>
      </w:r>
      <w:r>
        <w:t xml:space="preserve">(11.2; 343 of pdf; 330 of textbook)</w:t>
      </w:r>
    </w:p>
    <w:p>
      <w:pPr>
        <w:pStyle w:val="Compact"/>
      </w:pPr>
      <w:r>
        <w:rPr>
          <w:b/>
        </w:rPr>
        <w:t xml:space="preserve">Power</w:t>
      </w:r>
    </w:p>
    <w:p>
      <w:pPr>
        <w:pStyle w:val="Compact"/>
      </w:pPr>
      <w:r>
        <w:t xml:space="preserve">Basics on power, including its relation to Type I/Type II error, and factors that affect power.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https://statsthinking21.github.io/statsthinking21-core-site/ci-effect-size-power.html#statistical-power</w:t>
        </w:r>
      </w:hyperlink>
      <w:r>
        <w:t xml:space="preserve"> </w:t>
      </w:r>
      <w:r>
        <w:t xml:space="preserve">(10.3-10.3.1)</w:t>
      </w:r>
    </w:p>
    <w:p>
      <w:pPr>
        <w:pStyle w:val="Heading3"/>
      </w:pPr>
      <w:bookmarkStart w:id="24" w:name="Xb0daa585079928985d0e4d9cd2355bed21f2322"/>
      <w:r>
        <w:t xml:space="preserve">Recall the simple conditions for inference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SRS</w:t>
      </w:r>
    </w:p>
    <w:p>
      <w:pPr>
        <w:pStyle w:val="Compact"/>
        <w:numPr>
          <w:numId w:val="1002"/>
          <w:ilvl w:val="0"/>
        </w:numPr>
      </w:pPr>
      <w:r>
        <w:t xml:space="preserve">Population has a Normal distribution</w:t>
      </w:r>
    </w:p>
    <w:p>
      <w:pPr>
        <w:pStyle w:val="Compact"/>
        <w:numPr>
          <w:numId w:val="1002"/>
          <w:ilvl w:val="0"/>
        </w:numPr>
      </w:pPr>
      <m:oMath>
        <m:r>
          <m:t>σ</m:t>
        </m:r>
      </m:oMath>
      <w:r>
        <w:t xml:space="preserve"> </w:t>
      </w:r>
      <w:r>
        <w:t xml:space="preserve">is known</w:t>
      </w:r>
    </w:p>
    <w:p>
      <w:pPr>
        <w:pStyle w:val="Heading3"/>
      </w:pPr>
      <w:bookmarkStart w:id="25" w:name="condition-1-where-do-the-data-come-from"/>
      <w:r>
        <w:t xml:space="preserve">Condition 1: Where do the data come from?</w:t>
      </w:r>
      <w:bookmarkEnd w:id="25"/>
    </w:p>
    <w:p>
      <w:pPr>
        <w:pStyle w:val="FirstParagraph"/>
      </w:pPr>
      <w:r>
        <w:t xml:space="preserve">When you use statistical inference, you are acting as if your data are a</w:t>
      </w:r>
      <w:r>
        <w:t xml:space="preserve"> </w:t>
      </w:r>
      <w:r>
        <w:t xml:space="preserve">SRS or come from a randomized experiment.</w:t>
      </w:r>
    </w:p>
    <w:p>
      <w:pPr>
        <w:pStyle w:val="BodyText"/>
      </w:pPr>
      <w:r>
        <w:t xml:space="preserve">Sometimes we treat non-random samples as if they were random. We can do this if</w:t>
      </w:r>
      <w:r>
        <w:t xml:space="preserve"> </w:t>
      </w:r>
      <w:r>
        <w:t xml:space="preserve">we believe that the non-randomness of the sample does not affect the outcome of</w:t>
      </w:r>
      <w:r>
        <w:t xml:space="preserve"> </w:t>
      </w:r>
      <w:r>
        <w:t xml:space="preserve">interest</w:t>
      </w:r>
    </w:p>
    <w:p>
      <w:pPr>
        <w:pStyle w:val="Heading3"/>
      </w:pPr>
      <w:bookmarkStart w:id="26" w:name="X820b191390c187fedc5dd4e00e5c46249776a63"/>
      <w:r>
        <w:t xml:space="preserve">Condition 1: Where do the data come from?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Example 1: A neurobiologist is interested in how visual perception can be fooled</w:t>
      </w:r>
      <w:r>
        <w:t xml:space="preserve"> </w:t>
      </w:r>
      <w:r>
        <w:t xml:space="preserve">by optical illusions.They use their students as a convenience (i.e., non-random) sample.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Example 2: A sociologist is interested in attitudes toward the use of human subjects in</w:t>
      </w:r>
      <w:r>
        <w:t xml:space="preserve"> </w:t>
      </w:r>
      <w:r>
        <w:t xml:space="preserve">science. They use their students as a convenience (i.e., non-random) sample.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For one of these examples, it matters less that the sample is non random. Which</w:t>
      </w:r>
      <w:r>
        <w:t xml:space="preserve"> </w:t>
      </w:r>
      <w:r>
        <w:t xml:space="preserve">do you think it might be and why?</w:t>
      </w:r>
    </w:p>
    <w:p>
      <w:pPr>
        <w:pStyle w:val="Heading3"/>
      </w:pPr>
      <w:bookmarkStart w:id="27" w:name="X6fe33be572b746eb1d3eb052f203d0c52141ccd"/>
      <w:r>
        <w:t xml:space="preserve">Condition 1: Where do the data come from?</w:t>
      </w:r>
      <w:bookmarkEnd w:id="27"/>
    </w:p>
    <w:p>
      <w:pPr>
        <w:pStyle w:val="FirstParagraph"/>
      </w:pPr>
      <w:r>
        <w:t xml:space="preserve">Even if the data come from a randomized experiment, there could be issues that</w:t>
      </w:r>
      <w:r>
        <w:t xml:space="preserve"> </w:t>
      </w:r>
      <w:r>
        <w:t xml:space="preserve">hinder the randomness:</w:t>
      </w:r>
    </w:p>
    <w:p>
      <w:pPr>
        <w:pStyle w:val="Compact"/>
        <w:numPr>
          <w:numId w:val="1004"/>
          <w:ilvl w:val="0"/>
        </w:numPr>
      </w:pPr>
      <w:r>
        <w:t xml:space="preserve">Non response: Some surveyed individuals may not complete a survey. What happens</w:t>
      </w:r>
      <w:r>
        <w:t xml:space="preserve"> </w:t>
      </w:r>
      <w:r>
        <w:t xml:space="preserve">if they are different than the individuals who complete the survey?</w:t>
      </w:r>
    </w:p>
    <w:p>
      <w:pPr>
        <w:pStyle w:val="Compact"/>
        <w:numPr>
          <w:numId w:val="1004"/>
          <w:ilvl w:val="0"/>
        </w:numPr>
      </w:pPr>
      <w:r>
        <w:t xml:space="preserve">Dropout (</w:t>
      </w:r>
      <w:r>
        <w:t xml:space="preserve">“</w:t>
      </w:r>
      <w:r>
        <w:t xml:space="preserve">Lost to follow-up</w:t>
      </w:r>
      <w:r>
        <w:t xml:space="preserve">”</w:t>
      </w:r>
      <w:r>
        <w:t xml:space="preserve">, in RCT jargon): In a randomized trial, you may</w:t>
      </w:r>
      <w:r>
        <w:t xml:space="preserve"> </w:t>
      </w:r>
      <w:r>
        <w:t xml:space="preserve">follow enrolled individuals over time, but some people may stop participating</w:t>
      </w:r>
      <w:r>
        <w:t xml:space="preserve"> </w:t>
      </w:r>
      <w:r>
        <w:t xml:space="preserve">in the study and drop out. When might these individuals be different from those</w:t>
      </w:r>
      <w:r>
        <w:t xml:space="preserve"> </w:t>
      </w:r>
      <w:r>
        <w:t xml:space="preserve">individuals who stay in study until the end of the study period?</w:t>
      </w:r>
    </w:p>
    <w:p>
      <w:pPr>
        <w:pStyle w:val="Heading3"/>
      </w:pPr>
      <w:bookmarkStart w:id="28" w:name="X4060c69d9f1f96f1d973edba4ed247aba6f36da"/>
      <w:r>
        <w:t xml:space="preserve">Condition 2: What is the shape of the population distribution?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There is flexibility with this condition. We started by assuming Normality of</w:t>
      </w:r>
      <w:r>
        <w:t xml:space="preserve"> </w:t>
      </w:r>
      <w:r>
        <w:t xml:space="preserve">the distribution, which</w:t>
      </w:r>
      <w:r>
        <w:t xml:space="preserve"> </w:t>
      </w:r>
      <w:r>
        <w:rPr>
          <w:b/>
        </w:rPr>
        <w:t xml:space="preserve">guarantees</w:t>
      </w:r>
      <w:r>
        <w:t xml:space="preserve"> </w:t>
      </w:r>
      <w:r>
        <w:t xml:space="preserve">that the sampling distribution for the mean</w:t>
      </w:r>
      <w:r>
        <w:t xml:space="preserve"> </w:t>
      </w:r>
      <w:r>
        <w:t xml:space="preserve">is Normally distributed, no matter the sample size.</w:t>
      </w:r>
    </w:p>
    <w:p>
      <w:pPr>
        <w:pStyle w:val="Compact"/>
        <w:numPr>
          <w:numId w:val="1005"/>
          <w:ilvl w:val="0"/>
        </w:numPr>
      </w:pPr>
      <w:r>
        <w:t xml:space="preserve">However, because of the Central Limit Theorem, the sampling</w:t>
      </w:r>
      <w:r>
        <w:t xml:space="preserve"> </w:t>
      </w:r>
      <w:r>
        <w:t xml:space="preserve">distribution for the mean – no matter the shape of the underlying</w:t>
      </w:r>
      <w:r>
        <w:t xml:space="preserve"> </w:t>
      </w:r>
      <w:r>
        <w:t xml:space="preserve">distribution – will eventually become Normally distributed when the sample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large enough.</w:t>
      </w:r>
    </w:p>
    <w:p>
      <w:pPr>
        <w:pStyle w:val="Compact"/>
        <w:numPr>
          <w:numId w:val="1005"/>
          <w:ilvl w:val="0"/>
        </w:numPr>
      </w:pPr>
      <w:r>
        <w:t xml:space="preserve">The z-test is reasonably accurate for any symmetric distribution if the sample</w:t>
      </w:r>
      <w:r>
        <w:t xml:space="preserve"> </w:t>
      </w:r>
      <w:r>
        <w:t xml:space="preserve">size is moderate</w:t>
      </w:r>
    </w:p>
    <w:p>
      <w:pPr>
        <w:pStyle w:val="Compact"/>
        <w:numPr>
          <w:numId w:val="1005"/>
          <w:ilvl w:val="0"/>
        </w:numPr>
      </w:pPr>
      <w:r>
        <w:t xml:space="preserve">If the distribution is skewed, then you need a large enough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for the z-test to work.</w:t>
      </w:r>
    </w:p>
    <w:p>
      <w:pPr>
        <w:pStyle w:val="Compact"/>
        <w:numPr>
          <w:numId w:val="1005"/>
          <w:ilvl w:val="0"/>
        </w:numPr>
      </w:pPr>
      <w:r>
        <w:t xml:space="preserve">Thus, we are loosening the condition from the past couple of lectures: consider</w:t>
      </w:r>
      <w:r>
        <w:t xml:space="preserve"> </w:t>
      </w:r>
      <w:r>
        <w:t xml:space="preserve">both the shape of the distribution (is it symmetric?) and the sample size to determine</w:t>
      </w:r>
      <w:r>
        <w:t xml:space="preserve"> </w:t>
      </w:r>
      <w:r>
        <w:t xml:space="preserve">if you can perform a z-test</w:t>
      </w:r>
    </w:p>
    <w:p>
      <w:pPr>
        <w:pStyle w:val="Heading3"/>
      </w:pPr>
      <w:bookmarkStart w:id="29" w:name="X31fc535817cd179dea46e07ed3cf774e5a68dd1"/>
      <w:r>
        <w:t xml:space="preserve">Condition 2: What is the shape of the population distribution?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Examine the shape of the sample’s distribution using a Normal Quantile plot</w:t>
      </w:r>
      <w:r>
        <w:t xml:space="preserve"> </w:t>
      </w:r>
      <w:r>
        <w:t xml:space="preserve">(ideally) or a histogram. Use it to infer the shape of the population distribution</w:t>
      </w:r>
    </w:p>
    <w:p>
      <w:pPr>
        <w:pStyle w:val="Compact"/>
        <w:numPr>
          <w:numId w:val="1006"/>
          <w:ilvl w:val="0"/>
        </w:numPr>
      </w:pPr>
      <w:r>
        <w:t xml:space="preserve">Difficult to infer much if there are too few observations.</w:t>
      </w:r>
    </w:p>
    <w:p>
      <w:pPr>
        <w:pStyle w:val="Heading3"/>
      </w:pPr>
      <w:bookmarkStart w:id="30" w:name="X7db3d235a22773849e5a5a57d0b683901475331"/>
      <w:r>
        <w:t xml:space="preserve">Condition 2: What is the shape of the population distribution?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Outliers can affect tests of non-resistant measures like the mean.</w:t>
      </w:r>
    </w:p>
    <w:p>
      <w:pPr>
        <w:pStyle w:val="Compact"/>
        <w:numPr>
          <w:numId w:val="1007"/>
          <w:ilvl w:val="0"/>
        </w:numPr>
      </w:pPr>
      <w:r>
        <w:t xml:space="preserve">Double check if the outlier is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or an error. If it is real, can use other</w:t>
      </w:r>
      <w:r>
        <w:t xml:space="preserve"> </w:t>
      </w:r>
      <w:r>
        <w:t xml:space="preserve">methods that aren’t sensitive to outliers.</w:t>
      </w:r>
    </w:p>
    <w:p>
      <w:pPr>
        <w:pStyle w:val="Heading3"/>
      </w:pPr>
      <w:bookmarkStart w:id="31" w:name="how-confidence-intervals-behave"/>
      <w:r>
        <w:t xml:space="preserve">How confidence intervals behave</w:t>
      </w:r>
      <w:bookmarkEnd w:id="31"/>
    </w:p>
    <w:p>
      <w:pPr>
        <w:pStyle w:val="FirstParagraph"/>
      </w:pPr>
      <w:r>
        <w:t xml:space="preserve">Recall the form of a CI: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p>
            <m:e>
              <m:r>
                <m:t>z</m:t>
              </m:r>
            </m:e>
            <m:sup>
              <m:r>
                <m:t>*</m:t>
              </m:r>
            </m:sup>
          </m:sSup>
          <m:f>
            <m:fPr>
              <m:type m:val="bar"/>
            </m:fPr>
            <m:num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t>z</m:t>
            </m:r>
          </m:e>
          <m:sup>
            <m:r>
              <m:t>*</m:t>
            </m:r>
          </m:sup>
        </m:sSup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margin of error</w:t>
      </w:r>
      <w:r>
        <w:t xml:space="preserve">.</w:t>
      </w:r>
    </w:p>
    <w:p>
      <w:pPr>
        <w:pStyle w:val="BodyText"/>
      </w:pPr>
      <w:r>
        <w:t xml:space="preserve">The margin of error gets smaller when: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z* is smaller</w:t>
      </w:r>
      <w:r>
        <w:t xml:space="preserve"> </w:t>
      </w:r>
      <w:r>
        <w:t xml:space="preserve">(i.e., you change to a lower confidence level). To obtain a</w:t>
      </w:r>
      <w:r>
        <w:t xml:space="preserve"> </w:t>
      </w:r>
      <w:r>
        <w:t xml:space="preserve">narrower confidence interval using the same data (i.e., same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)</w:t>
      </w:r>
      <w:r>
        <w:t xml:space="preserve"> </w:t>
      </w:r>
      <w:r>
        <w:t xml:space="preserve">you need to accept a lower confidence level, implying a trade-off between the</w:t>
      </w:r>
      <w:r>
        <w:t xml:space="preserve"> </w:t>
      </w:r>
      <w:r>
        <w:t xml:space="preserve">confidence level and the margin of error.</w:t>
      </w:r>
    </w:p>
    <w:p>
      <w:pPr>
        <w:pStyle w:val="Compact"/>
        <w:numPr>
          <w:numId w:val="1008"/>
          <w:ilvl w:val="0"/>
        </w:numPr>
      </w:pPr>
      <m:oMath>
        <m:r>
          <m:t>σ</m:t>
        </m:r>
      </m:oMath>
      <w:r>
        <w:rPr>
          <w:b/>
        </w:rPr>
        <w:t xml:space="preserve"> </w:t>
      </w:r>
      <w:r>
        <w:rPr>
          <w:b/>
        </w:rPr>
        <w:t xml:space="preserve">is smaller</w:t>
      </w:r>
      <w:r>
        <w:t xml:space="preserve">. You might be able to reduce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if there is measurement</w:t>
      </w:r>
      <w:r>
        <w:t xml:space="preserve"> </w:t>
      </w:r>
      <w:r>
        <w:t xml:space="preserve">error of the variable that you can improve or eliminate. Often times, the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can’t be reduced, it is just a characteristic of the population.</w:t>
      </w:r>
    </w:p>
    <w:p>
      <w:pPr>
        <w:pStyle w:val="Compact"/>
        <w:numPr>
          <w:numId w:val="1008"/>
          <w:ilvl w:val="0"/>
        </w:numPr>
      </w:pPr>
      <m:oMath>
        <m:r>
          <m:t>n</m:t>
        </m:r>
      </m:oMath>
      <w:r>
        <w:rPr>
          <w:b/>
        </w:rPr>
        <w:t xml:space="preserve"> </w:t>
      </w:r>
      <w:r>
        <w:rPr>
          <w:b/>
        </w:rPr>
        <w:t xml:space="preserve">is larger</w:t>
      </w:r>
      <w:r>
        <w:t xml:space="preserve">. You need to quadruple the sample size to halve the margin of</w:t>
      </w:r>
      <w:r>
        <w:t xml:space="preserve"> </w:t>
      </w:r>
      <w:r>
        <w:t xml:space="preserve">error:</w:t>
      </w:r>
    </w:p>
    <w:p>
      <w:pPr>
        <w:pStyle w:val="Compact"/>
        <w:numPr>
          <w:numId w:val="1009"/>
          <w:ilvl w:val="1"/>
        </w:numPr>
      </w:pPr>
      <w:r>
        <w:t xml:space="preserve">Recall that</w:t>
      </w:r>
      <w:r>
        <w:t xml:space="preserve"> </w:t>
      </w:r>
      <m:oMath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. If you increase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  <m:r>
          <m:t>×</m:t>
        </m:r>
        <m:r>
          <m:t>n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4</m:t>
                </m:r>
                <m:r>
                  <m:t>×</m:t>
                </m:r>
                <m:r>
                  <m:t>n</m:t>
                </m:r>
              </m:e>
            </m:rad>
          </m:den>
        </m:f>
        <m:r>
          <m:t>=</m:t>
        </m:r>
        <m:f>
          <m:fPr>
            <m:type m:val="bar"/>
          </m:fPr>
          <m:num>
            <m:r>
              <m:t>σ</m:t>
            </m:r>
          </m:num>
          <m:den>
            <m:r>
              <m:t>2</m:t>
            </m:r>
            <m:r>
              <m:t>×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×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, which</w:t>
      </w:r>
      <w:r>
        <w:t xml:space="preserve"> </w:t>
      </w:r>
      <w:r>
        <w:t xml:space="preserve">is half of the original SE</w:t>
      </w:r>
    </w:p>
    <w:p>
      <w:pPr>
        <w:pStyle w:val="Heading3"/>
      </w:pPr>
      <w:bookmarkStart w:id="32" w:name="Xb633f81a05fca7424601e2a59c8f8d3b8fa5ff6"/>
      <w:r>
        <w:t xml:space="preserve">The margin of error only accounts for sampling error</w:t>
      </w:r>
      <w:bookmarkEnd w:id="32"/>
    </w:p>
    <w:p>
      <w:pPr>
        <w:pStyle w:val="Compact"/>
        <w:numPr>
          <w:numId w:val="1010"/>
          <w:ilvl w:val="0"/>
        </w:numPr>
      </w:pPr>
      <w:r>
        <w:t xml:space="preserve">This is one of the most important points!</w:t>
      </w:r>
    </w:p>
    <w:p>
      <w:pPr>
        <w:pStyle w:val="Compact"/>
        <w:numPr>
          <w:numId w:val="1010"/>
          <w:ilvl w:val="0"/>
        </w:numPr>
      </w:pPr>
      <w:r>
        <w:t xml:space="preserve">If you’re taking epidemiology, you’ve likely learned about epidemiologic bias:</w:t>
      </w:r>
      <w:r>
        <w:t xml:space="preserve"> </w:t>
      </w:r>
      <w:r>
        <w:t xml:space="preserve">confounding, measurement error, and selection bias. These are</w:t>
      </w:r>
      <w:r>
        <w:t xml:space="preserve"> </w:t>
      </w:r>
      <w:r>
        <w:rPr>
          <w:b/>
        </w:rPr>
        <w:t xml:space="preserve">systematic errors</w:t>
      </w:r>
      <w:r>
        <w:t xml:space="preserve">.</w:t>
      </w:r>
      <w:r>
        <w:t xml:space="preserve"> </w:t>
      </w:r>
      <w:r>
        <w:t xml:space="preserve">The confidence interval does not account for systematic errors.</w:t>
      </w:r>
    </w:p>
    <w:p>
      <w:pPr>
        <w:pStyle w:val="Compact"/>
        <w:numPr>
          <w:numId w:val="1010"/>
          <w:ilvl w:val="0"/>
        </w:numPr>
      </w:pPr>
      <w:r>
        <w:t xml:space="preserve">For example, if you were measuring birth weight in grams and the scale off by</w:t>
      </w:r>
      <w:r>
        <w:t xml:space="preserve"> </w:t>
      </w:r>
      <w:r>
        <w:t xml:space="preserve">+50 grams for each baby, then estimate of the average would also be off by +50 grams</w:t>
      </w:r>
      <w:r>
        <w:t xml:space="preserve"> </w:t>
      </w:r>
      <w:r>
        <w:t xml:space="preserve">and the confidence would be shifted to the right by +50 grams. Increasing sample</w:t>
      </w:r>
      <w:r>
        <w:t xml:space="preserve"> </w:t>
      </w:r>
      <w:r>
        <w:t xml:space="preserve">size would not overcome this measurement error.</w:t>
      </w:r>
    </w:p>
    <w:p>
      <w:pPr>
        <w:pStyle w:val="Heading3"/>
      </w:pPr>
      <w:bookmarkStart w:id="33" w:name="how-hypothesis-tests-behave"/>
      <w:r>
        <w:t xml:space="preserve">How hypothesis tests behave</w:t>
      </w:r>
      <w:bookmarkEnd w:id="33"/>
    </w:p>
    <w:p>
      <w:pPr>
        <w:pStyle w:val="Compact"/>
        <w:numPr>
          <w:numId w:val="1011"/>
          <w:ilvl w:val="0"/>
        </w:numPr>
      </w:pPr>
      <w:r>
        <w:t xml:space="preserve">The p-value of a test is dependent on whether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one-sided or two-sided.</w:t>
      </w:r>
    </w:p>
    <w:p>
      <w:pPr>
        <w:pStyle w:val="Compact"/>
        <w:numPr>
          <w:numId w:val="1011"/>
          <w:ilvl w:val="0"/>
        </w:numPr>
      </w:pPr>
      <w:r>
        <w:t xml:space="preserve">The p-value for a two-sided test is double the p-value for the one-sided test</w:t>
      </w:r>
      <w:r>
        <w:t xml:space="preserve"> </w:t>
      </w:r>
      <w:r>
        <w:t xml:space="preserve">of the same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11"/>
          <w:ilvl w:val="0"/>
        </w:numPr>
      </w:pPr>
      <w:r>
        <w:t xml:space="preserve">It is important to determine whether you are conducting a one- or two-sided</w:t>
      </w:r>
      <w:r>
        <w:t xml:space="preserve"> </w:t>
      </w:r>
      <w:r>
        <w:t xml:space="preserve">test before you see the data, and if one-sided, whether you are testing if</w:t>
      </w:r>
      <w:r>
        <w:t xml:space="preserve"> </w:t>
      </w:r>
      <m:oMath>
        <m:r>
          <m:t>μ</m:t>
        </m:r>
        <m:r>
          <m:t>&lt;</m:t>
        </m:r>
        <m:sSub>
          <m:e>
            <m:r>
              <m:t>μ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r>
          <m:t>μ</m:t>
        </m:r>
        <m: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That is you should never use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as a</w:t>
      </w:r>
      <w:r>
        <w:t xml:space="preserve"> </w:t>
      </w:r>
      <w:r>
        <w:t xml:space="preserve">basis for determining the direction of the alternative hypothesis. Why do you think</w:t>
      </w:r>
      <w:r>
        <w:t xml:space="preserve"> </w:t>
      </w:r>
      <w:r>
        <w:t xml:space="preserve">that is?</w:t>
      </w:r>
    </w:p>
    <w:p>
      <w:pPr>
        <w:pStyle w:val="Heading3"/>
      </w:pPr>
      <w:bookmarkStart w:id="34" w:name="how-hypothesis-tests-behave-1"/>
      <w:r>
        <w:t xml:space="preserve">How hypothesis tests behave</w:t>
      </w:r>
      <w:bookmarkEnd w:id="34"/>
    </w:p>
    <w:p>
      <w:pPr>
        <w:numPr>
          <w:numId w:val="1012"/>
          <w:ilvl w:val="0"/>
        </w:numPr>
      </w:pPr>
      <w:r>
        <w:t xml:space="preserve">Statistical significance depends on sample size (since sample size determines</w:t>
      </w:r>
      <w:r>
        <w:t xml:space="preserve"> </w:t>
      </w:r>
      <w:r>
        <w:t xml:space="preserve">the standard error of the sampling mean)</w:t>
      </w:r>
    </w:p>
    <w:p>
      <w:pPr>
        <w:numPr>
          <w:numId w:val="1012"/>
          <w:ilvl w:val="0"/>
        </w:numPr>
      </w:pPr>
      <w:r>
        <w:t xml:space="preserve">Recall the form of the z-test: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μ</m:t>
              </m:r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numPr>
          <w:numId w:val="1013"/>
          <w:ilvl w:val="0"/>
        </w:numPr>
      </w:pPr>
      <w:r>
        <w:t xml:space="preserve">We can call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</m:oMath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magnitude of the observed effect</w:t>
      </w:r>
      <w:r>
        <w:t xml:space="preserve">”</w:t>
      </w:r>
      <w:r>
        <w:t xml:space="preserve"> </w:t>
      </w:r>
      <w:r>
        <w:t xml:space="preserve">since it is our</w:t>
      </w:r>
      <w:r>
        <w:t xml:space="preserve"> </w:t>
      </w:r>
      <w:r>
        <w:t xml:space="preserve">measure of how much the population average we’re looking at differs from some</w:t>
      </w:r>
      <w:r>
        <w:t xml:space="preserve"> </w:t>
      </w:r>
      <w:r>
        <w:t xml:space="preserve">null hypothesized mean.</w:t>
      </w:r>
    </w:p>
    <w:p>
      <w:pPr>
        <w:numPr>
          <w:numId w:val="1013"/>
          <w:ilvl w:val="0"/>
        </w:numPr>
      </w:pPr>
      <w:r>
        <w:t xml:space="preserve">We can also call</w:t>
      </w:r>
      <w:r>
        <w:t xml:space="preserve"> </w:t>
      </w:r>
      <m:oMath>
        <m:r>
          <m:t>σ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size of chance variation</w:t>
      </w:r>
      <w:r>
        <w:t xml:space="preserve">”</w:t>
      </w:r>
      <w:r>
        <w:t xml:space="preserve"> </w:t>
      </w:r>
      <w:r>
        <w:t xml:space="preserve">because it</w:t>
      </w:r>
      <w:r>
        <w:t xml:space="preserve"> </w:t>
      </w:r>
      <w:r>
        <w:t xml:space="preserve">quantifies how much</w:t>
      </w:r>
      <w:r>
        <w:t xml:space="preserve"> </w:t>
      </w:r>
      <w:r>
        <w:t xml:space="preserve">“</w:t>
      </w:r>
      <w:r>
        <w:t xml:space="preserve">chance</w:t>
      </w:r>
      <w:r>
        <w:t xml:space="preserve">”</w:t>
      </w:r>
      <w:r>
        <w:t xml:space="preserve"> </w:t>
      </w:r>
      <w:r>
        <w:t xml:space="preserve">variations (only due to randomness) we expect from</w:t>
      </w:r>
      <w:r>
        <w:t xml:space="preserve"> </w:t>
      </w:r>
      <w:r>
        <w:t xml:space="preserve">sample to sample.</w:t>
      </w:r>
    </w:p>
    <w:p>
      <w:pPr>
        <w:numPr>
          <w:numId w:val="1013"/>
          <w:ilvl w:val="0"/>
        </w:numPr>
      </w:pPr>
      <w:r>
        <w:t xml:space="preserve">Then: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magnitude of observed effect</m:t>
              </m:r>
            </m:num>
            <m:den>
              <m:r>
                <m:rPr>
                  <m:nor/>
                  <m:sty m:val="p"/>
                </m:rPr>
                <m:t>size of chance variation</m:t>
              </m:r>
            </m:den>
          </m:f>
          <m:r>
            <m:t>=</m:t>
          </m:r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g</m:t>
              </m:r>
              <m:r>
                <m:t>n</m:t>
              </m:r>
              <m:r>
                <m:t>a</m:t>
              </m:r>
              <m:r>
                <m:t>l</m:t>
              </m:r>
            </m:num>
            <m:den>
              <m:r>
                <m:t>n</m:t>
              </m:r>
              <m:r>
                <m:t>o</m:t>
              </m:r>
              <m:r>
                <m:t>i</m:t>
              </m:r>
              <m:r>
                <m:t>s</m:t>
              </m:r>
              <m:r>
                <m:t>e</m:t>
              </m:r>
            </m:den>
          </m:f>
        </m:oMath>
      </m:oMathPara>
    </w:p>
    <w:p>
      <w:pPr>
        <w:numPr>
          <w:numId w:val="1014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signal to noise ratio</w:t>
      </w:r>
      <w:r>
        <w:t xml:space="preserve">”</w:t>
      </w:r>
      <w:r>
        <w:t xml:space="preserve"> </w:t>
      </w:r>
      <w:r>
        <w:t xml:space="preserve">is something you might have heard mentioned in</w:t>
      </w:r>
      <w:r>
        <w:t xml:space="preserve"> </w:t>
      </w:r>
      <w:r>
        <w:t xml:space="preserve">articles you read online and this is what that means.</w:t>
      </w:r>
    </w:p>
    <w:p>
      <w:pPr>
        <w:numPr>
          <w:numId w:val="1014"/>
          <w:ilvl w:val="0"/>
        </w:numPr>
      </w:pPr>
      <w:r>
        <w:t xml:space="preserve">Statistical significance depends on:</w:t>
      </w:r>
    </w:p>
    <w:p>
      <w:pPr>
        <w:pStyle w:val="Compact"/>
        <w:numPr>
          <w:numId w:val="1015"/>
          <w:ilvl w:val="1"/>
        </w:numPr>
      </w:pPr>
      <w:r>
        <w:t xml:space="preserve">The size of the observed effect (</w:t>
      </w:r>
      <m:oMath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</m:oMath>
      <w:r>
        <w:t xml:space="preserve">)</w:t>
      </w:r>
    </w:p>
    <w:p>
      <w:pPr>
        <w:pStyle w:val="Compact"/>
        <w:numPr>
          <w:numId w:val="1015"/>
          <w:ilvl w:val="1"/>
        </w:numPr>
      </w:pPr>
      <w:r>
        <w:t xml:space="preserve">The variability of individuals in the population (</w:t>
      </w:r>
      <m:oMath>
        <m:r>
          <m:t>σ</m:t>
        </m:r>
      </m:oMath>
      <w:r>
        <w:t xml:space="preserve">)</w:t>
      </w:r>
    </w:p>
    <w:p>
      <w:pPr>
        <w:pStyle w:val="Compact"/>
        <w:numPr>
          <w:numId w:val="1015"/>
          <w:ilvl w:val="1"/>
        </w:numPr>
      </w:pPr>
      <w:r>
        <w:t xml:space="preserve">The sample size (</w:t>
      </w:r>
      <m:oMath>
        <m:r>
          <m:t>n</m:t>
        </m:r>
      </m:oMath>
      <w:r>
        <w:t xml:space="preserve">)</w:t>
      </w:r>
    </w:p>
    <w:p>
      <w:pPr>
        <w:pStyle w:val="Heading3"/>
      </w:pPr>
      <w:bookmarkStart w:id="35" w:name="how-hypothesis-tests-behave-2"/>
      <w:r>
        <w:t xml:space="preserve">How hypothesis tests behave</w:t>
      </w:r>
      <w:bookmarkEnd w:id="35"/>
    </w:p>
    <w:p>
      <w:pPr>
        <w:pStyle w:val="Compact"/>
        <w:numPr>
          <w:numId w:val="1016"/>
          <w:ilvl w:val="0"/>
        </w:numPr>
      </w:pPr>
      <w:r>
        <w:t xml:space="preserve">Statistical significance depends on:</w:t>
      </w:r>
    </w:p>
    <w:p>
      <w:pPr>
        <w:pStyle w:val="Compact"/>
        <w:numPr>
          <w:numId w:val="1017"/>
          <w:ilvl w:val="1"/>
        </w:numPr>
      </w:pPr>
      <w:r>
        <w:t xml:space="preserve">The size of the observed effect (</w:t>
      </w:r>
      <m:oMath>
        <m:bar>
          <m:barPr>
            <m:pos m:val="top"/>
          </m:barPr>
          <m:e>
            <m:r>
              <m:t>x</m:t>
            </m:r>
          </m:e>
        </m:bar>
        <m:r>
          <m:t>−</m:t>
        </m:r>
        <m:r>
          <m:t>μ</m:t>
        </m:r>
      </m:oMath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The variability of individuals in the population (</w:t>
      </w:r>
      <m:oMath>
        <m:r>
          <m:t>σ</m:t>
        </m:r>
      </m:oMath>
      <w:r>
        <w:t xml:space="preserve">)</w:t>
      </w:r>
    </w:p>
    <w:p>
      <w:pPr>
        <w:pStyle w:val="Compact"/>
        <w:numPr>
          <w:numId w:val="1017"/>
          <w:ilvl w:val="1"/>
        </w:numPr>
      </w:pPr>
      <w:r>
        <w:t xml:space="preserve">The sample size (</w:t>
      </w:r>
      <m:oMath>
        <m:r>
          <m:t>n</m:t>
        </m:r>
      </m:oMath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If you obtain a small p-value it is not necessarily because the effect size is large.</w:t>
      </w:r>
    </w:p>
    <w:p>
      <w:pPr>
        <w:pStyle w:val="Compact"/>
        <w:numPr>
          <w:numId w:val="1016"/>
          <w:ilvl w:val="0"/>
        </w:numPr>
      </w:pPr>
      <w:r>
        <w:t xml:space="preserve">Very tiny effects can be deemed statistically significant when you have enough</w:t>
      </w:r>
      <w:r>
        <w:t xml:space="preserve"> </w:t>
      </w:r>
      <w:r>
        <w:t xml:space="preserve">data. This is a big problem in the age of big data, because you’re almost</w:t>
      </w:r>
      <w:r>
        <w:t xml:space="preserve"> </w:t>
      </w:r>
      <w:r>
        <w:t xml:space="preserve">guaranteed to obtain statistically significant results, no matter the effect size.</w:t>
      </w:r>
    </w:p>
    <w:p>
      <w:pPr>
        <w:pStyle w:val="Compact"/>
        <w:numPr>
          <w:numId w:val="1016"/>
          <w:ilvl w:val="0"/>
        </w:numPr>
      </w:pPr>
      <w:r>
        <w:t xml:space="preserve">On the other hand, if your sample size is too small, you might not obtain statistical</w:t>
      </w:r>
      <w:r>
        <w:t xml:space="preserve"> </w:t>
      </w:r>
      <w:r>
        <w:t xml:space="preserve">significance even if your effect size is large.</w:t>
      </w:r>
    </w:p>
    <w:p>
      <w:pPr>
        <w:pStyle w:val="Compact"/>
        <w:numPr>
          <w:numId w:val="1016"/>
          <w:ilvl w:val="0"/>
        </w:numPr>
      </w:pPr>
      <w:r>
        <w:t xml:space="preserve">This means:</w:t>
      </w:r>
      <w:r>
        <w:t xml:space="preserve"> </w:t>
      </w:r>
      <w:r>
        <w:rPr>
          <w:b/>
        </w:rPr>
        <w:t xml:space="preserve">An absence of evidence is not evidence of absence</w:t>
      </w:r>
      <w:r>
        <w:t xml:space="preserve">. Said another way: Failing to reject the null hypothesis does not imply that the null hypothesis is true.</w:t>
      </w:r>
    </w:p>
    <w:p>
      <w:pPr>
        <w:pStyle w:val="Heading3"/>
      </w:pPr>
      <w:bookmarkStart w:id="36" w:name="how-hypothesis-tests-behave-3"/>
      <w:r>
        <w:t xml:space="preserve">How hypothesis tests behave</w:t>
      </w:r>
      <w:bookmarkEnd w:id="36"/>
    </w:p>
    <w:p>
      <w:pPr>
        <w:pStyle w:val="Compact"/>
        <w:numPr>
          <w:numId w:val="1018"/>
          <w:ilvl w:val="0"/>
        </w:numPr>
      </w:pPr>
      <w:r>
        <w:t xml:space="preserve">Statistical significance is different from clinical/practical significance.</w:t>
      </w:r>
    </w:p>
    <w:p>
      <w:pPr>
        <w:pStyle w:val="Compact"/>
        <w:numPr>
          <w:numId w:val="1018"/>
          <w:ilvl w:val="0"/>
        </w:numPr>
      </w:pPr>
      <w:r>
        <w:t xml:space="preserve">A statistically significant result might not be large enough to be important in</w:t>
      </w:r>
      <w:r>
        <w:t xml:space="preserve"> </w:t>
      </w:r>
      <w:r>
        <w:t xml:space="preserve">context of the question.</w:t>
      </w:r>
    </w:p>
    <w:p>
      <w:pPr>
        <w:pStyle w:val="Heading3"/>
      </w:pPr>
      <w:bookmarkStart w:id="37" w:name="p-values"/>
      <w:r>
        <w:t xml:space="preserve">P-values</w:t>
      </w:r>
      <w:bookmarkEnd w:id="37"/>
    </w:p>
    <w:p>
      <w:pPr>
        <w:pStyle w:val="Compact"/>
        <w:numPr>
          <w:numId w:val="1019"/>
          <w:ilvl w:val="0"/>
        </w:numPr>
      </w:pPr>
      <w:r>
        <w:t xml:space="preserve">Watch this 11-min YouTube video on</w:t>
      </w:r>
      <w:r>
        <w:t xml:space="preserve"> </w:t>
      </w:r>
      <w:r>
        <w:t xml:space="preserve">“</w:t>
      </w:r>
      <w:r>
        <w:t xml:space="preserve">P-hacking</w:t>
      </w:r>
      <w:r>
        <w:t xml:space="preserve">”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https://www.youtube.com/watch?v=Gx0fAjNHb1M</w:t>
        </w:r>
      </w:hyperlink>
    </w:p>
    <w:p>
      <w:pPr>
        <w:pStyle w:val="Compact"/>
        <w:numPr>
          <w:numId w:val="1019"/>
          <w:ilvl w:val="0"/>
        </w:numPr>
      </w:pPr>
      <w:r>
        <w:t xml:space="preserve">Read this Vox article about a Cornell food researcher how engaged in p-hacking:</w:t>
      </w:r>
      <w:r>
        <w:t xml:space="preserve"> </w:t>
      </w:r>
      <w:hyperlink r:id="rId39">
        <w:r>
          <w:rPr>
            <w:rStyle w:val="Hyperlink"/>
          </w:rPr>
          <w:t xml:space="preserve">https://www.vox.com/science-and-health/2018/9/19/17879102/brian-wansink-cornell-food-brand-lab-retractions-jama</w:t>
        </w:r>
      </w:hyperlink>
    </w:p>
    <w:p>
      <w:pPr>
        <w:pStyle w:val="Compact"/>
        <w:numPr>
          <w:numId w:val="1019"/>
          <w:ilvl w:val="0"/>
        </w:numPr>
      </w:pPr>
      <w:r>
        <w:t xml:space="preserve">Read this two-page ASA brief on statistical significance and p-values:</w:t>
      </w:r>
      <w:r>
        <w:t xml:space="preserve"> </w:t>
      </w:r>
      <w:hyperlink r:id="rId40">
        <w:r>
          <w:rPr>
            <w:rStyle w:val="Hyperlink"/>
          </w:rPr>
          <w:t xml:space="preserve">https://www.amstat.org/asa/files/pdfs/P-ValueStatement.pdf</w:t>
        </w:r>
      </w:hyperlink>
    </w:p>
    <w:p>
      <w:pPr>
        <w:pStyle w:val="Compact"/>
        <w:numPr>
          <w:numId w:val="1019"/>
          <w:ilvl w:val="0"/>
        </w:numPr>
      </w:pPr>
      <w:r>
        <w:t xml:space="preserve">We don’t have time to discuss these today, but the material contained in these</w:t>
      </w:r>
      <w:r>
        <w:t xml:space="preserve"> </w:t>
      </w:r>
      <w:r>
        <w:t xml:space="preserve">sources is testable!</w:t>
      </w:r>
    </w:p>
    <w:p>
      <w:pPr>
        <w:pStyle w:val="Heading3"/>
      </w:pPr>
      <w:bookmarkStart w:id="41" w:name="selecting-an-appropriate-sample-size"/>
      <w:r>
        <w:t xml:space="preserve">Selecting an appropriate sample size</w:t>
      </w:r>
      <w:bookmarkEnd w:id="41"/>
    </w:p>
    <w:p>
      <w:pPr>
        <w:pStyle w:val="FirstParagraph"/>
      </w:pPr>
      <w:r>
        <w:t xml:space="preserve">How big does the sample size need to be?</w:t>
      </w:r>
    </w:p>
    <w:p>
      <w:pPr>
        <w:pStyle w:val="BodyText"/>
      </w:pPr>
      <w:r>
        <w:t xml:space="preserve">Suppose you want your margin of error to equal</w:t>
      </w:r>
      <w:r>
        <w:t xml:space="preserve"> </w:t>
      </w:r>
      <m:oMath>
        <m:r>
          <m:t>m</m:t>
        </m:r>
      </m:oMath>
      <w:r>
        <w:t xml:space="preserve">. What sample size do you need</w:t>
      </w:r>
      <w:r>
        <w:t xml:space="preserve"> </w:t>
      </w:r>
      <w:r>
        <w:t xml:space="preserve">to obtain a margin of error of</w:t>
      </w:r>
      <w:r>
        <w:t xml:space="preserve"> </w:t>
      </w:r>
      <m:oMath>
        <m:r>
          <m:t>m</m:t>
        </m:r>
      </m:oMath>
      <w:r>
        <w:t xml:space="preserve">?</w:t>
      </w:r>
    </w:p>
    <w:p>
      <w:pPr>
        <w:pStyle w:val="BodyText"/>
      </w:pPr>
      <w:r>
        <w:t xml:space="preserve">You can rearrange the formula for the margin of error (moe) to solve for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e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σ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σ</m:t>
              </m:r>
            </m:num>
            <m:den>
              <m:r>
                <m:t>m</m:t>
              </m:r>
              <m:r>
                <m:t>o</m:t>
              </m:r>
              <m:r>
                <m:t>e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3"/>
      </w:pPr>
      <w:bookmarkStart w:id="42" w:name="example-of-calculation-sample-size"/>
      <w:r>
        <w:t xml:space="preserve">Example of calculation sample size</w:t>
      </w:r>
      <w:bookmarkEnd w:id="42"/>
    </w:p>
    <w:p>
      <w:pPr>
        <w:pStyle w:val="FirstParagraph"/>
      </w:pPr>
      <w:r>
        <w:t xml:space="preserve">Body temperature has a known</w:t>
      </w:r>
      <w:r>
        <w:t xml:space="preserve"> </w:t>
      </w:r>
      <m:oMath>
        <m:r>
          <m:t>σ</m:t>
        </m:r>
        <m:r>
          <m:t>=</m:t>
        </m:r>
        <m:r>
          <m:t>0.06</m:t>
        </m:r>
      </m:oMath>
      <w:r>
        <w:t xml:space="preserve"> </w:t>
      </w:r>
      <w:r>
        <w:t xml:space="preserve">degrees F. We want to estimate the mean</w:t>
      </w:r>
      <w:r>
        <w:t xml:space="preserve"> </w:t>
      </w:r>
      <w:r>
        <w:t xml:space="preserve">body temperature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for healthy adults within</w:t>
      </w:r>
      <w:r>
        <w:t xml:space="preserve"> </w:t>
      </w:r>
      <m:oMath>
        <m:r>
          <m:t>±</m:t>
        </m:r>
        <m:r>
          <m:t>0.05</m:t>
        </m:r>
      </m:oMath>
      <w:r>
        <w:t xml:space="preserve"> </w:t>
      </w:r>
      <w:r>
        <w:t xml:space="preserve">F with 95% confidence.</w:t>
      </w:r>
      <w:r>
        <w:t xml:space="preserve"> </w:t>
      </w:r>
      <w:r>
        <w:t xml:space="preserve">How many healthy adults must we measure?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σ</m:t>
              </m:r>
            </m:num>
            <m:den>
              <m:r>
                <m:t>m</m:t>
              </m:r>
              <m:r>
                <m:t>o</m:t>
              </m:r>
              <m:r>
                <m:t>e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(</m:t>
          </m:r>
          <m:f>
            <m:fPr>
              <m:type m:val="bar"/>
            </m:fPr>
            <m:num>
              <m:r>
                <m:t>1.96</m:t>
              </m:r>
              <m:r>
                <m:t>×</m:t>
              </m:r>
              <m:r>
                <m:t>0.06</m:t>
              </m:r>
            </m:num>
            <m:den>
              <m:r>
                <m:t>0.05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553.2</m:t>
          </m:r>
        </m:oMath>
      </m:oMathPara>
    </w:p>
    <w:p>
      <w:pPr>
        <w:pStyle w:val="Compact"/>
        <w:numPr>
          <w:numId w:val="1020"/>
          <w:ilvl w:val="0"/>
        </w:numPr>
      </w:pPr>
      <w:r>
        <w:t xml:space="preserve">We must recruit 554 healthy adults for this study.</w:t>
      </w:r>
    </w:p>
    <w:p>
      <w:pPr>
        <w:pStyle w:val="Compact"/>
        <w:numPr>
          <w:numId w:val="1020"/>
          <w:ilvl w:val="0"/>
        </w:numPr>
      </w:pPr>
      <w:r>
        <w:t xml:space="preserve">Note that we always round up when calculating sample size, because if we rounded</w:t>
      </w:r>
      <w:r>
        <w:t xml:space="preserve"> </w:t>
      </w:r>
      <w:r>
        <w:t xml:space="preserve">to the nearest whole digit (553) then the margin or error would be smaller than</w:t>
      </w:r>
      <w:r>
        <w:t xml:space="preserve"> </w:t>
      </w:r>
      <m:oMath>
        <m:r>
          <m:t>±</m:t>
        </m:r>
        <m:r>
          <m:t>5</m:t>
        </m:r>
      </m:oMath>
      <w:r>
        <w:t xml:space="preserve">.</w:t>
      </w:r>
    </w:p>
    <w:p>
      <w:pPr>
        <w:pStyle w:val="Heading3"/>
      </w:pPr>
      <w:bookmarkStart w:id="43" w:name="example-of-calculation-sample-size-1"/>
      <w:r>
        <w:t xml:space="preserve">Example of calculation sample size</w:t>
      </w:r>
      <w:bookmarkEnd w:id="43"/>
    </w:p>
    <w:p>
      <w:pPr>
        <w:pStyle w:val="Compact"/>
        <w:numPr>
          <w:numId w:val="1021"/>
          <w:ilvl w:val="0"/>
        </w:numPr>
      </w:pPr>
      <w:r>
        <w:t xml:space="preserve">Be careful! Rather than giving you the required margin of error, the question</w:t>
      </w:r>
      <w:r>
        <w:t xml:space="preserve"> </w:t>
      </w:r>
      <w:r>
        <w:t xml:space="preserve">may give you the required</w:t>
      </w:r>
      <w:r>
        <w:t xml:space="preserve"> </w:t>
      </w:r>
      <w:r>
        <w:rPr>
          <w:b/>
        </w:rPr>
        <w:t xml:space="preserve">width</w:t>
      </w:r>
      <w:r>
        <w:t xml:space="preserve"> </w:t>
      </w:r>
      <w:r>
        <w:t xml:space="preserve">of the confidence interval.</w:t>
      </w:r>
    </w:p>
    <w:p>
      <w:pPr>
        <w:pStyle w:val="Compact"/>
        <w:numPr>
          <w:numId w:val="1021"/>
          <w:ilvl w:val="0"/>
        </w:numPr>
      </w:pPr>
      <w:r>
        <w:t xml:space="preserve">E.g., the previous question could have said: We want to estimate a 95%</w:t>
      </w:r>
      <w:r>
        <w:t xml:space="preserve"> </w:t>
      </w:r>
      <w:r>
        <w:t xml:space="preserve">confidence interval for the mean that has a width of 0.1 units. How many healthy adults must we measure?</w:t>
      </w:r>
    </w:p>
    <w:p>
      <w:pPr>
        <w:pStyle w:val="Compact"/>
        <w:numPr>
          <w:numId w:val="1021"/>
          <w:ilvl w:val="0"/>
        </w:numPr>
      </w:pPr>
      <w:r>
        <w:t xml:space="preserve">The width of the confidence interval is</w:t>
      </w:r>
      <w:r>
        <w:t xml:space="preserve"> </w:t>
      </w:r>
      <m:oMath>
        <m:r>
          <m:t>2</m:t>
        </m:r>
        <m:r>
          <m:t>×</m:t>
        </m:r>
        <m:r>
          <m:t>m</m:t>
        </m:r>
        <m:r>
          <m:t>o</m:t>
        </m:r>
        <m:r>
          <m:t>e</m:t>
        </m:r>
      </m:oMath>
      <w:r>
        <w:t xml:space="preserve">, so here</w:t>
      </w:r>
      <w:r>
        <w:t xml:space="preserve"> </w:t>
      </w:r>
      <m:oMath>
        <m:r>
          <m:t>m</m:t>
        </m:r>
        <m:r>
          <m:t>o</m:t>
        </m:r>
        <m:r>
          <m:t>e</m:t>
        </m:r>
        <m:r>
          <m:t>=</m:t>
        </m:r>
        <m:r>
          <m:t>0.05</m:t>
        </m:r>
      </m:oMath>
      <w:r>
        <w:t xml:space="preserve">,</w:t>
      </w:r>
      <w:r>
        <w:t xml:space="preserve"> </w:t>
      </w:r>
      <w:r>
        <w:t xml:space="preserve">just like in the previous question.</w:t>
      </w:r>
    </w:p>
    <w:p>
      <w:pPr>
        <w:pStyle w:val="Heading3"/>
      </w:pPr>
      <w:bookmarkStart w:id="44" w:name="X5c98afb31aa2c7bba9f8ec22afb353c88f60bb4"/>
      <w:r>
        <w:t xml:space="preserve">Sample size when conducting a hypothesis test</w:t>
      </w:r>
      <w:bookmarkEnd w:id="44"/>
    </w:p>
    <w:p>
      <w:pPr>
        <w:pStyle w:val="FirstParagraph"/>
      </w:pPr>
      <w:r>
        <w:t xml:space="preserve">To think about sample size for a z-test, three things matter: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Significance level:</w:t>
      </w:r>
      <w:r>
        <w:t xml:space="preserve"> </w:t>
      </w:r>
      <w:r>
        <w:t xml:space="preserve">How much protection do we want against saying there is</w:t>
      </w:r>
      <w:r>
        <w:t xml:space="preserve"> </w:t>
      </w:r>
      <w:r>
        <w:t xml:space="preserve">“</w:t>
      </w:r>
      <w:r>
        <w:t xml:space="preserve">evidence against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”</w:t>
      </w:r>
      <w:r>
        <w:t xml:space="preserve"> </w:t>
      </w:r>
      <w:r>
        <w:t xml:space="preserve">when there really is no effect</w:t>
      </w:r>
      <w:r>
        <w:t xml:space="preserve"> </w:t>
      </w:r>
      <w:r>
        <w:t xml:space="preserve">in the population? The significance level we choose fixes this conditional</w:t>
      </w:r>
      <w:r>
        <w:t xml:space="preserve"> </w:t>
      </w:r>
      <w:r>
        <w:t xml:space="preserve">probability to a fixed level, often 5%:</w:t>
      </w:r>
      <w:r>
        <w:t xml:space="preserve"> </w:t>
      </w:r>
      <m:oMath>
        <m:r>
          <m:t>P</m:t>
        </m:r>
        <m:r>
          <m:t>(</m:t>
        </m:r>
        <m:r>
          <m:rPr>
            <m:nor/>
            <m:sty m:val="p"/>
          </m:rPr>
          <m:t>Reject 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t>|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 is true</m:t>
        </m:r>
        <m:r>
          <m:t>]</m:t>
        </m:r>
        <m:r>
          <m:t>)</m:t>
        </m:r>
        <m:r>
          <m:t>=</m:t>
        </m:r>
        <m:r>
          <m:t>0.05</m:t>
        </m:r>
      </m:oMath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Effect size:</w:t>
      </w:r>
      <w:r>
        <w:t xml:space="preserve"> </w:t>
      </w:r>
      <w:r>
        <w:t xml:space="preserve">How large of an effect in the population is important in practice?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Power:</w:t>
      </w:r>
      <w:r>
        <w:t xml:space="preserve"> </w:t>
      </w:r>
      <w:r>
        <w:t xml:space="preserve">How confident do we want that our study will detect an effect</w:t>
      </w:r>
      <w:r>
        <w:t xml:space="preserve"> </w:t>
      </w:r>
      <w:r>
        <w:t xml:space="preserve">of the size we think is important? I.e., what is the probability of rejecting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 the alternative hypothesis is true? That is, what is</w:t>
      </w:r>
      <w:r>
        <w:t xml:space="preserve"> </w:t>
      </w:r>
      <m:oMath>
        <m:r>
          <m:t>P</m:t>
        </m:r>
        <m:r>
          <m:t>(</m:t>
        </m:r>
        <m:r>
          <m:rPr>
            <m:nor/>
            <m:sty m:val="p"/>
          </m:rPr>
          <m:t>Reject 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t>|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nor/>
            <m:sty m:val="p"/>
          </m:rPr>
          <m:t> is true</m:t>
        </m:r>
        <m:r>
          <m:t>)</m:t>
        </m:r>
      </m:oMath>
      <w:r>
        <w:t xml:space="preserve">?</w:t>
      </w:r>
    </w:p>
    <w:p>
      <w:pPr>
        <w:pStyle w:val="Heading3"/>
      </w:pPr>
      <w:bookmarkStart w:id="45" w:name="example-of-calculating-power"/>
      <w:r>
        <w:t xml:space="preserve">Example of calculating power</w:t>
      </w:r>
      <w:bookmarkEnd w:id="45"/>
    </w:p>
    <w:p>
      <w:pPr>
        <w:pStyle w:val="Compact"/>
        <w:numPr>
          <w:numId w:val="1023"/>
          <w:ilvl w:val="0"/>
        </w:numPr>
      </w:pPr>
      <w:r>
        <w:t xml:space="preserve">Suppose you know that</w:t>
      </w:r>
      <w:r>
        <w:t xml:space="preserve"> </w:t>
      </w:r>
      <m:oMath>
        <m:r>
          <m:t>σ</m:t>
        </m:r>
        <m:r>
          <m:t>=</m:t>
        </m:r>
        <m:r>
          <m:t>1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μ</m:t>
        </m:r>
        <m:r>
          <m:t>=</m:t>
        </m:r>
        <m:r>
          <m:t>0</m:t>
        </m:r>
      </m:oMath>
    </w:p>
    <w:p>
      <w:pPr>
        <w:pStyle w:val="Compact"/>
        <w:numPr>
          <w:numId w:val="1023"/>
          <w:ilvl w:val="0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μ</m:t>
        </m:r>
        <m:r>
          <m:t>&gt;</m:t>
        </m:r>
        <m:r>
          <m:t>0</m:t>
        </m:r>
      </m:oMath>
    </w:p>
    <w:p>
      <w:pPr>
        <w:pStyle w:val="Compact"/>
        <w:numPr>
          <w:numId w:val="1023"/>
          <w:ilvl w:val="0"/>
        </w:numPr>
      </w:pPr>
      <w:r>
        <w:t xml:space="preserve">Set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Additional condition: You need to be 90% confident that the test will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 the true underlying mean equals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. That is, you want 90%</w:t>
      </w:r>
      <w:r>
        <w:t xml:space="preserve"> </w:t>
      </w:r>
      <w:r>
        <w:rPr>
          <w:b/>
        </w:rPr>
        <w:t xml:space="preserve">power</w:t>
      </w:r>
      <w:r>
        <w:t xml:space="preserve"> </w:t>
      </w:r>
      <w:r>
        <w:t xml:space="preserve">when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What sample size will give you 90% power?</w:t>
      </w:r>
    </w:p>
    <w:p>
      <w:pPr>
        <w:pStyle w:val="Heading3"/>
      </w:pPr>
      <w:bookmarkStart w:id="46" w:name="example-of-calculating-power-1"/>
      <w:r>
        <w:t xml:space="preserve">Example of calculating power</w:t>
      </w:r>
      <w:bookmarkEnd w:id="46"/>
    </w:p>
    <w:p>
      <w:pPr>
        <w:pStyle w:val="FirstParagraph"/>
      </w:pPr>
      <w:r>
        <w:t xml:space="preserve">Begin by assuming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and calculate the minimum z-value required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0.5201484</w:t>
      </w:r>
    </w:p>
    <w:p>
      <w:pPr>
        <w:pStyle w:val="FirstParagraph"/>
      </w:pPr>
      <w:r>
        <w:t xml:space="preserve">So for any z-test with this value or higher, you will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Now suppose that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is true. The test will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what</w:t>
      </w:r>
      <w:r>
        <w:t xml:space="preserve"> </w:t>
      </w:r>
      <w:r>
        <w:t xml:space="preserve">percent of the time when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true? To calculate this probability, we take</w:t>
      </w:r>
      <w:r>
        <w:t xml:space="preserve"> </w:t>
      </w:r>
      <w:r>
        <w:t xml:space="preserve">the value from the previous calculation and calculate the</w:t>
      </w:r>
      <w:r>
        <w:t xml:space="preserve"> </w:t>
      </w:r>
      <w:r>
        <w:rPr>
          <w:i/>
        </w:rPr>
        <w:t xml:space="preserve">probability</w:t>
      </w:r>
      <w:r>
        <w:t xml:space="preserve"> </w:t>
      </w:r>
      <w:r>
        <w:t xml:space="preserve">above</w:t>
      </w:r>
      <w:r>
        <w:t xml:space="preserve"> </w:t>
      </w:r>
      <w:r>
        <w:t xml:space="preserve">its value under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0.5201484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0.8119132</w:t>
      </w:r>
    </w:p>
    <w:p>
      <w:pPr>
        <w:pStyle w:val="FirstParagraph"/>
      </w:pPr>
      <w:r>
        <w:t xml:space="preserve">Thus, you have a 82% chance of obtaining evidence in 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. To obtain power of 90%, you will need to increase the sample size.</w:t>
      </w:r>
    </w:p>
    <w:p>
      <w:pPr>
        <w:pStyle w:val="Heading3"/>
      </w:pPr>
      <w:bookmarkStart w:id="47" w:name="example-of-calculating-power-illustrated"/>
      <w:r>
        <w:t xml:space="preserve">Example of calculating power, illustrated</w:t>
      </w:r>
      <w:bookmarkEnd w:id="4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5_Inference-in-practi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0"/>
        </w:numPr>
      </w:pPr>
      <w:r>
        <w:t xml:space="preserve">There is 5% of the area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that is shaded here in purple. This is the chance of rejecting the null hypothesis even when it is true. We found that x = 0.5201484 denotes the value</w:t>
      </w:r>
      <w:r>
        <w:t xml:space="preserve"> </w:t>
      </w:r>
      <w:r>
        <w:t xml:space="preserve">where 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&gt;</m:t>
        </m:r>
        <m:r>
          <m:t>=</m:t>
        </m:r>
        <m:r>
          <m:t>0.5201484</m:t>
        </m:r>
      </m:oMath>
      <w:r>
        <w:t xml:space="preserve"> </w:t>
      </w:r>
      <w:r>
        <w:t xml:space="preserve">would provide evidence against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</w:p>
    <w:p>
      <w:pPr>
        <w:pStyle w:val="Compact"/>
        <w:numPr>
          <w:numId w:val="1024"/>
          <w:ilvl w:val="0"/>
        </w:numPr>
      </w:pPr>
      <w:r>
        <w:t xml:space="preserve">Then, we sketch the distribution of the alternative if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and we calculate</w:t>
      </w:r>
      <w:r>
        <w:t xml:space="preserve"> </w:t>
      </w:r>
      <w:r>
        <w:t xml:space="preserve">the probability of rejecting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μ</m:t>
        </m:r>
        <m:r>
          <m:t>=</m:t>
        </m:r>
        <m:r>
          <m:t>0.8</m:t>
        </m:r>
      </m:oMath>
      <w:r>
        <w:t xml:space="preserve"> </w:t>
      </w:r>
      <w:r>
        <w:t xml:space="preserve">is true.</w:t>
      </w:r>
    </w:p>
    <w:p>
      <w:pPr>
        <w:pStyle w:val="Heading3"/>
      </w:pPr>
      <w:bookmarkStart w:id="49" w:name="power"/>
      <w:r>
        <w:t xml:space="preserve">Power</w:t>
      </w:r>
      <w:bookmarkEnd w:id="49"/>
    </w:p>
    <w:p>
      <w:pPr>
        <w:pStyle w:val="FirstParagraph"/>
      </w:pPr>
      <w:r>
        <w:t xml:space="preserve">Thus, for this example, if you want power of 90%, you need to increase</w:t>
      </w:r>
      <w:r>
        <w:t xml:space="preserve"> </w:t>
      </w:r>
      <m:oMath>
        <m:r>
          <m:t>n</m:t>
        </m:r>
        <m:r>
          <m:t>&gt;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Based on the calculations below,</w:t>
      </w:r>
      <w:r>
        <w:t xml:space="preserve"> </w:t>
      </w:r>
      <m:oMath>
        <m:r>
          <m:t>n</m:t>
        </m:r>
        <m:r>
          <m:t>=</m:t>
        </m:r>
        <m:r>
          <m:t>14</m:t>
        </m:r>
      </m:oMath>
      <w:r>
        <w:t xml:space="preserve"> </w:t>
      </w:r>
      <w:r>
        <w:t xml:space="preserve">reaches 90% power: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0.892436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0.9112467</w:t>
      </w:r>
    </w:p>
    <w:p>
      <w:pPr>
        <w:pStyle w:val="Heading3"/>
      </w:pPr>
      <w:bookmarkStart w:id="50" w:name="Xa6613f86d3e1581ab0a2ee4c4626f48c489d7f4"/>
      <w:r>
        <w:t xml:space="preserve">What affects the sample size required for a hypothesis test?</w:t>
      </w:r>
      <w:bookmarkEnd w:id="50"/>
    </w:p>
    <w:p>
      <w:pPr>
        <w:pStyle w:val="Compact"/>
        <w:numPr>
          <w:numId w:val="1025"/>
          <w:ilvl w:val="0"/>
        </w:numPr>
      </w:pPr>
      <w:r>
        <w:t xml:space="preserve">Smaller significance levels require larger</w:t>
      </w:r>
      <w:r>
        <w:t xml:space="preserve"> </w:t>
      </w:r>
      <m:oMath>
        <m:r>
          <m:t>n</m:t>
        </m:r>
      </m:oMath>
    </w:p>
    <w:p>
      <w:pPr>
        <w:pStyle w:val="Compact"/>
        <w:numPr>
          <w:numId w:val="1025"/>
          <w:ilvl w:val="0"/>
        </w:numPr>
      </w:pPr>
      <w:r>
        <w:t xml:space="preserve">Higher power requires a larger</w:t>
      </w:r>
      <w:r>
        <w:t xml:space="preserve"> </w:t>
      </w:r>
      <m:oMath>
        <m:r>
          <m:t>n</m:t>
        </m:r>
      </m:oMath>
    </w:p>
    <w:p>
      <w:pPr>
        <w:pStyle w:val="Compact"/>
        <w:numPr>
          <w:numId w:val="1025"/>
          <w:ilvl w:val="0"/>
        </w:numPr>
      </w:pPr>
      <w:r>
        <w:t xml:space="preserve">For a given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power, two-sided alternatives require a larger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than one-sided tests</w:t>
      </w:r>
    </w:p>
    <w:p>
      <w:pPr>
        <w:pStyle w:val="Compact"/>
        <w:numPr>
          <w:numId w:val="1025"/>
          <w:ilvl w:val="0"/>
        </w:numPr>
      </w:pPr>
      <w:r>
        <w:t xml:space="preserve">Aiming to detect a smaller difference between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requires</w:t>
      </w:r>
      <w:r>
        <w:t xml:space="preserve"> </w:t>
      </w:r>
      <w:r>
        <w:t xml:space="preserve">a larger</w:t>
      </w:r>
      <w:r>
        <w:t xml:space="preserve"> </w:t>
      </w:r>
      <m:oMath>
        <m:r>
          <m:t>n</m:t>
        </m:r>
      </m:oMath>
    </w:p>
    <w:p>
      <w:pPr>
        <w:pStyle w:val="Heading3"/>
      </w:pPr>
      <w:bookmarkStart w:id="51" w:name="Xc793cf2c562fc9885bd3787a52627ea5cc9f7c1"/>
      <w:r>
        <w:t xml:space="preserve">Power, Type I error, and Type II error in hypothesis tests</w:t>
      </w:r>
      <w:bookmarkEnd w:id="51"/>
    </w:p>
    <w:p>
      <w:pPr>
        <w:pStyle w:val="Compact"/>
        <w:numPr>
          <w:numId w:val="1026"/>
          <w:ilvl w:val="0"/>
        </w:numPr>
      </w:pPr>
      <w:r>
        <w:t xml:space="preserve">The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the chance of making a wrong decision when</w:t>
      </w:r>
      <w:r>
        <w:t xml:space="preserve"> </w:t>
      </w:r>
      <w:r>
        <w:t xml:space="preserve">the null hypothesis is true. This is known as a</w:t>
      </w:r>
      <w:r>
        <w:t xml:space="preserve"> </w:t>
      </w:r>
      <w:r>
        <w:rPr>
          <w:b/>
        </w:rPr>
        <w:t xml:space="preserve">type I error</w:t>
      </w:r>
    </w:p>
    <w:p>
      <w:pPr>
        <w:pStyle w:val="Compact"/>
        <w:numPr>
          <w:numId w:val="1026"/>
          <w:ilvl w:val="0"/>
        </w:numPr>
      </w:pPr>
      <w:r>
        <w:t xml:space="preserve">The power is the chance of making the right decision when the alternative is true.</w:t>
      </w:r>
    </w:p>
    <w:p>
      <w:pPr>
        <w:pStyle w:val="Compact"/>
        <w:numPr>
          <w:numId w:val="1027"/>
          <w:ilvl w:val="1"/>
        </w:numPr>
      </w:pPr>
      <w:r>
        <w:t xml:space="preserve">Thus, its complement, 1-power, is the chance of making a wrong decision</w:t>
      </w:r>
      <w:r>
        <w:t xml:space="preserve"> </w:t>
      </w:r>
      <w:r>
        <w:t xml:space="preserve">when the alternative hypothesis is true. This is known as a</w:t>
      </w:r>
      <w:r>
        <w:t xml:space="preserve"> </w:t>
      </w:r>
      <w:r>
        <w:rPr>
          <w:b/>
        </w:rPr>
        <w:t xml:space="preserve">type II error.</w:t>
      </w:r>
    </w:p>
    <w:p>
      <w:pPr>
        <w:pStyle w:val="Compact"/>
        <w:numPr>
          <w:numId w:val="1027"/>
          <w:ilvl w:val="1"/>
        </w:numPr>
      </w:pPr>
      <w:r>
        <w:t xml:space="preserve">We 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denote the chance of a Type II error.</w:t>
      </w:r>
      <w:r>
        <w:t xml:space="preserve"> </w:t>
      </w:r>
      <m:oMath>
        <m:r>
          <m:rPr>
            <m:nor/>
            <m:sty m:val="p"/>
          </m:rPr>
          <m:t>Power</m:t>
        </m:r>
        <m:r>
          <m:t>=</m:t>
        </m:r>
        <m:r>
          <m:t>1</m:t>
        </m:r>
        <m:r>
          <m:t>−</m:t>
        </m:r>
        <m:r>
          <m:t>β</m:t>
        </m:r>
      </m:oMath>
    </w:p>
    <w:p>
      <w:pPr>
        <w:pStyle w:val="Heading3"/>
      </w:pPr>
      <w:bookmarkStart w:id="52" w:name="X2b654671e39c0502945741a77e573e54af180df"/>
      <w:r>
        <w:t xml:space="preserve">Power, Type I error, and Type II error in hypothesis tests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Type I error (</w:t>
            </w:r>
            <m:oMath>
              <m:r>
                <m:t>p</m:t>
              </m:r>
              <m:r>
                <m:t>r</m:t>
              </m:r>
              <m:r>
                <m:t>o</m:t>
              </m:r>
              <m:r>
                <m:t>b</m:t>
              </m:r>
              <m:r>
                <m:t>=</m:t>
              </m:r>
              <m:r>
                <m:t>α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center"/>
            </w:pPr>
            <w:r>
              <w:t xml:space="preserve">Correct decision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Fail to 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Correct decision</w:t>
            </w:r>
          </w:p>
        </w:tc>
        <w:tc>
          <w:p>
            <w:pPr>
              <w:pStyle w:val="Compact"/>
              <w:jc w:val="center"/>
            </w:pPr>
            <w:r>
              <w:t xml:space="preserve">Type II error (</w:t>
            </w:r>
            <m:oMath>
              <m:r>
                <m:t>p</m:t>
              </m:r>
              <m:r>
                <m:t>r</m:t>
              </m:r>
              <m:r>
                <m:t>o</m:t>
              </m:r>
              <m:r>
                <m:t>b</m:t>
              </m:r>
              <m:r>
                <m:t>=</m:t>
              </m:r>
              <m:r>
                <m:t>β</m:t>
              </m:r>
            </m:oMath>
            <w:r>
              <w:t xml:space="preserve">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hyperlink" Id="rId22" Target="https://learningstatisticswithr.com/lsr-0.6.pdf" TargetMode="External" /><Relationship Type="http://schemas.openxmlformats.org/officeDocument/2006/relationships/hyperlink" Id="rId23" Target="https://statsthinking21.github.io/statsthinking21-core-site/ci-effect-size-power.html#statistical-power" TargetMode="External" /><Relationship Type="http://schemas.openxmlformats.org/officeDocument/2006/relationships/hyperlink" Id="rId40" Target="https://www.amstat.org/asa/files/pdfs/P-ValueStatement.pdf" TargetMode="External" /><Relationship Type="http://schemas.openxmlformats.org/officeDocument/2006/relationships/hyperlink" Id="rId39" Target="https://www.vox.com/science-and-health/2018/9/19/17879102/brian-wansink-cornell-food-brand-lab-retractions-jama" TargetMode="External" /><Relationship Type="http://schemas.openxmlformats.org/officeDocument/2006/relationships/hyperlink" Id="rId38" Target="https://www.youtube.com/watch?v=Gx0fAjNHb1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arningstatisticswithr.com/lsr-0.6.pdf" TargetMode="External" /><Relationship Type="http://schemas.openxmlformats.org/officeDocument/2006/relationships/hyperlink" Id="rId23" Target="https://statsthinking21.github.io/statsthinking21-core-site/ci-effect-size-power.html#statistical-power" TargetMode="External" /><Relationship Type="http://schemas.openxmlformats.org/officeDocument/2006/relationships/hyperlink" Id="rId40" Target="https://www.amstat.org/asa/files/pdfs/P-ValueStatement.pdf" TargetMode="External" /><Relationship Type="http://schemas.openxmlformats.org/officeDocument/2006/relationships/hyperlink" Id="rId39" Target="https://www.vox.com/science-and-health/2018/9/19/17879102/brian-wansink-cornell-food-brand-lab-retractions-jama" TargetMode="External" /><Relationship Type="http://schemas.openxmlformats.org/officeDocument/2006/relationships/hyperlink" Id="rId38" Target="https://www.youtube.com/watch?v=Gx0fAjNHb1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15: Inference in Practice</dc:title>
  <dc:creator>Corinne Riddell</dc:creator>
  <cp:keywords/>
  <dcterms:created xsi:type="dcterms:W3CDTF">2020-10-19T05:16:06Z</dcterms:created>
  <dcterms:modified xsi:type="dcterms:W3CDTF">2020-10-19T05:16:06Z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19, 2020</vt:lpwstr>
  </property>
  <property fmtid="{D5CDD505-2E9C-101B-9397-08002B2CF9AE}" pid="3" name="output">
    <vt:lpwstr>word_document</vt:lpwstr>
  </property>
</Properties>
</file>