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18:</w:t>
      </w:r>
      <w:r>
        <w:t xml:space="preserve"> </w:t>
      </w:r>
      <w:r>
        <w:t xml:space="preserve">Comparing</w:t>
      </w:r>
      <w:r>
        <w:t xml:space="preserve"> </w:t>
      </w:r>
      <w:r>
        <w:t xml:space="preserve">two</w:t>
      </w:r>
      <w:r>
        <w:t xml:space="preserve"> </w:t>
      </w:r>
      <w:r>
        <w:t xml:space="preserve">population</w:t>
      </w:r>
      <w:r>
        <w:t xml:space="preserve"> </w:t>
      </w:r>
      <w:r>
        <w:t xml:space="preserve">means</w:t>
      </w:r>
    </w:p>
    <w:p>
      <w:pPr>
        <w:pStyle w:val="Author"/>
      </w:pPr>
      <w:r>
        <w:t xml:space="preserve">Corinne</w:t>
      </w:r>
      <w:r>
        <w:t xml:space="preserve"> </w:t>
      </w:r>
      <w:r>
        <w:t xml:space="preserve">Riddell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26,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recap"/>
      <w:r>
        <w:t xml:space="preserve">Recap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So far we’ve learned the z-test and the t-test that apply when the variable of</w:t>
      </w:r>
      <w:r>
        <w:t xml:space="preserve"> </w:t>
      </w:r>
      <w:r>
        <w:t xml:space="preserve">interest is continuous</w:t>
      </w:r>
    </w:p>
    <w:p>
      <w:pPr>
        <w:pStyle w:val="Compact"/>
        <w:numPr>
          <w:numId w:val="1001"/>
          <w:ilvl w:val="0"/>
        </w:numPr>
      </w:pPr>
      <w:r>
        <w:t xml:space="preserve">These are</w:t>
      </w:r>
      <w:r>
        <w:t xml:space="preserve"> </w:t>
      </w:r>
      <w:r>
        <w:rPr>
          <w:b/>
        </w:rPr>
        <w:t xml:space="preserve">one sample</w:t>
      </w:r>
      <w:r>
        <w:t xml:space="preserve"> </w:t>
      </w:r>
      <w:r>
        <w:t xml:space="preserve">tests, meaning we have one variable of interest,</w:t>
      </w:r>
      <w:r>
        <w:t xml:space="preserve"> </w:t>
      </w:r>
      <w:r>
        <w:t xml:space="preserve">and we take one sample. We’re interested in knowing whether the one sample differs</w:t>
      </w:r>
      <w:r>
        <w:t xml:space="preserve"> </w:t>
      </w:r>
      <w:r>
        <w:t xml:space="preserve">from some null hypothesized value (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μ</m:t>
        </m:r>
        <m:r>
          <m:t>=</m:t>
        </m:r>
        <m:r>
          <m:t>68</m:t>
        </m:r>
        <m:r>
          <m:t>m</m:t>
        </m:r>
        <m:r>
          <m:t>m</m:t>
        </m:r>
      </m:oMath>
      <w:r>
        <w:t xml:space="preserve">)</w:t>
      </w:r>
    </w:p>
    <w:p>
      <w:pPr>
        <w:pStyle w:val="Heading3"/>
      </w:pPr>
      <w:bookmarkStart w:id="21" w:name="next-up-comparing-two-population-means"/>
      <w:r>
        <w:t xml:space="preserve">Next up: comparing two population means</w:t>
      </w:r>
      <w:bookmarkEnd w:id="21"/>
    </w:p>
    <w:p>
      <w:pPr>
        <w:numPr>
          <w:numId w:val="1002"/>
          <w:ilvl w:val="0"/>
        </w:numPr>
      </w:pPr>
      <w:r>
        <w:t xml:space="preserve">In Chapter 18, we are interested in comparing two samples from two populations.</w:t>
      </w:r>
      <w:r>
        <w:t xml:space="preserve"> </w:t>
      </w:r>
      <w:r>
        <w:t xml:space="preserve">We want to shed light on the question: Do these two samples have the same underlying</w:t>
      </w:r>
      <w:r>
        <w:t xml:space="preserve"> </w:t>
      </w:r>
      <w:r>
        <w:t xml:space="preserve">mean, or are their means different? Another way of phrasing this is,</w:t>
      </w:r>
      <w:r>
        <w:t xml:space="preserve"> </w:t>
      </w:r>
      <w:r>
        <w:t xml:space="preserve">“</w:t>
      </w:r>
      <w:r>
        <w:t xml:space="preserve">is the</w:t>
      </w:r>
      <w:r>
        <w:t xml:space="preserve"> </w:t>
      </w:r>
      <w:r>
        <w:t xml:space="preserve">difference between the means equal to 0 or not?</w:t>
      </w:r>
      <w:r>
        <w:t xml:space="preserve">”</w:t>
      </w:r>
    </w:p>
    <w:p>
      <w:pPr>
        <w:numPr>
          <w:numId w:val="1002"/>
          <w:ilvl w:val="0"/>
        </w:numPr>
      </w:pPr>
      <w:r>
        <w:t xml:space="preserve">For this question, our null and two-sided alternative hypotheses are: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t>−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t>: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t>−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  <m:r>
            <m:t>≠</m:t>
          </m:r>
          <m:r>
            <m:t>0</m:t>
          </m:r>
        </m:oMath>
      </m:oMathPara>
    </w:p>
    <w:p>
      <w:pPr>
        <w:pStyle w:val="FirstParagraph"/>
      </w:pPr>
      <w:r>
        <w:t xml:space="preserve">- You can also write them this way, by rearranging the equation: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t>: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t>≠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</m:oMath>
      </m:oMathPara>
    </w:p>
    <w:p>
      <w:pPr>
        <w:pStyle w:val="Heading3"/>
      </w:pPr>
      <w:bookmarkStart w:id="22" w:name="comparing-two-population-means"/>
      <w:r>
        <w:t xml:space="preserve">Comparing two population means</w:t>
      </w:r>
      <w:bookmarkEnd w:id="22"/>
    </w:p>
    <w:p>
      <w:pPr>
        <w:pStyle w:val="FirstParagraph"/>
      </w:pPr>
      <w:r>
        <w:t xml:space="preserve">In public health, we are often most interested in questions that compare two</w:t>
      </w:r>
      <w:r>
        <w:t xml:space="preserve"> </w:t>
      </w:r>
      <w:r>
        <w:t xml:space="preserve">groups (exposed vs. unexposed, treatment vs. placebo, etc)</w:t>
      </w:r>
    </w:p>
    <w:p>
      <w:pPr>
        <w:pStyle w:val="Compact"/>
        <w:numPr>
          <w:numId w:val="1003"/>
          <w:ilvl w:val="0"/>
        </w:numPr>
      </w:pPr>
      <w:r>
        <w:t xml:space="preserve">Run a randomized controlled trial where we compare a treated subgroup to a</w:t>
      </w:r>
      <w:r>
        <w:t xml:space="preserve"> </w:t>
      </w:r>
      <w:r>
        <w:t xml:space="preserve">placebo group. Do their mean health outcomes differ?</w:t>
      </w:r>
    </w:p>
    <w:p>
      <w:pPr>
        <w:pStyle w:val="Compact"/>
        <w:numPr>
          <w:numId w:val="1003"/>
          <w:ilvl w:val="0"/>
        </w:numPr>
      </w:pPr>
      <w:r>
        <w:t xml:space="preserve">Conduct an observational study where we have exposed and unexposed individuals.</w:t>
      </w:r>
      <w:r>
        <w:t xml:space="preserve"> </w:t>
      </w:r>
      <w:r>
        <w:t xml:space="preserve">Do their mean health outcomes differ?</w:t>
      </w:r>
    </w:p>
    <w:p>
      <w:pPr>
        <w:pStyle w:val="FirstParagraph"/>
      </w:pPr>
      <w:r>
        <w:t xml:space="preserve">In this chapter, we talk about tests to compare the difference in two</w:t>
      </w:r>
      <w:r>
        <w:t xml:space="preserve"> </w:t>
      </w:r>
      <w:r>
        <w:t xml:space="preserve">continuous means, represented by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</m:oMath>
    </w:p>
    <w:p>
      <w:pPr>
        <w:pStyle w:val="Heading3"/>
      </w:pPr>
      <w:bookmarkStart w:id="23" w:name="comparing-two-samples-graphically"/>
      <w:r>
        <w:t xml:space="preserve">Comparing two samples, graphically</w:t>
      </w:r>
      <w:bookmarkEnd w:id="23"/>
    </w:p>
    <w:p>
      <w:pPr>
        <w:pStyle w:val="FirstParagraph"/>
      </w:pPr>
      <w:r>
        <w:rPr>
          <w:b/>
        </w:rPr>
        <w:t xml:space="preserve">Procedure to compare two samples graphically</w:t>
      </w:r>
    </w:p>
    <w:p>
      <w:pPr>
        <w:pStyle w:val="Compact"/>
        <w:numPr>
          <w:numId w:val="1004"/>
          <w:ilvl w:val="0"/>
        </w:numPr>
      </w:pPr>
      <w:r>
        <w:t xml:space="preserve">Make two histograms, one for each sample</w:t>
      </w:r>
    </w:p>
    <w:p>
      <w:pPr>
        <w:pStyle w:val="Compact"/>
        <w:numPr>
          <w:numId w:val="1004"/>
          <w:ilvl w:val="0"/>
        </w:numPr>
      </w:pPr>
      <w:r>
        <w:t xml:space="preserve">Compare their shapes, centers (means or medians) and spreads (standard deviations)</w:t>
      </w:r>
    </w:p>
    <w:p>
      <w:pPr>
        <w:pStyle w:val="Compact"/>
        <w:numPr>
          <w:numId w:val="1004"/>
          <w:ilvl w:val="0"/>
        </w:numPr>
      </w:pPr>
      <w:r>
        <w:t xml:space="preserve">Or, make two box plots and compare their medians and IQRs</w:t>
      </w:r>
    </w:p>
    <w:p>
      <w:pPr>
        <w:pStyle w:val="Heading3"/>
      </w:pPr>
      <w:bookmarkStart w:id="24" w:name="X0fde6b4b8731f28fa5fcf3552b5c7094d70285a"/>
      <w:r>
        <w:t xml:space="preserve">Conditions for inference comparing two means</w:t>
      </w:r>
      <w:bookmarkEnd w:id="24"/>
    </w:p>
    <w:p>
      <w:pPr>
        <w:pStyle w:val="Compact"/>
        <w:numPr>
          <w:numId w:val="1005"/>
          <w:ilvl w:val="0"/>
        </w:numPr>
      </w:pPr>
      <w:r>
        <w:t xml:space="preserve">We have two SRSs, representing two distinct populations.</w:t>
      </w:r>
    </w:p>
    <w:p>
      <w:pPr>
        <w:pStyle w:val="Compact"/>
        <w:numPr>
          <w:numId w:val="1006"/>
          <w:ilvl w:val="1"/>
        </w:numPr>
      </w:pPr>
      <w:r>
        <w:t xml:space="preserve">The samples are</w:t>
      </w:r>
      <w:r>
        <w:t xml:space="preserve"> </w:t>
      </w:r>
      <w:r>
        <w:rPr>
          <w:b/>
        </w:rPr>
        <w:t xml:space="preserve">independent</w:t>
      </w:r>
      <w:r>
        <w:t xml:space="preserve">. That is, the individuals in one sample are</w:t>
      </w:r>
      <w:r>
        <w:t xml:space="preserve"> </w:t>
      </w:r>
      <w:r>
        <w:t xml:space="preserve">unrelated to the individuals in the other sample.</w:t>
      </w:r>
    </w:p>
    <w:p>
      <w:pPr>
        <w:pStyle w:val="Compact"/>
        <w:numPr>
          <w:numId w:val="1006"/>
          <w:ilvl w:val="1"/>
        </w:numPr>
      </w:pPr>
      <w:r>
        <w:t xml:space="preserve">We measure the same quantitative variable for both samples.</w:t>
      </w:r>
    </w:p>
    <w:p>
      <w:pPr>
        <w:pStyle w:val="Compact"/>
        <w:numPr>
          <w:numId w:val="1005"/>
          <w:ilvl w:val="0"/>
        </w:numPr>
      </w:pPr>
      <w:r>
        <w:t xml:space="preserve">Both populations are</w:t>
      </w:r>
      <w:r>
        <w:t xml:space="preserve"> </w:t>
      </w:r>
      <w:r>
        <w:rPr>
          <w:b/>
        </w:rPr>
        <w:t xml:space="preserve">Normally distributed</w:t>
      </w:r>
      <w:r>
        <w:t xml:space="preserve">. The means and standard</w:t>
      </w:r>
      <w:r>
        <w:t xml:space="preserve"> </w:t>
      </w:r>
      <w:r>
        <w:t xml:space="preserve">deviations of the populations are unknown.</w:t>
      </w:r>
      <w:r>
        <w:t xml:space="preserve"> </w:t>
      </w:r>
      <w:r>
        <w:rPr>
          <w:b/>
        </w:rPr>
        <w:t xml:space="preserve">In practice, it is enough that the</w:t>
      </w:r>
      <w:r>
        <w:rPr>
          <w:b/>
        </w:rPr>
        <w:t xml:space="preserve"> </w:t>
      </w:r>
      <w:r>
        <w:rPr>
          <w:b/>
        </w:rPr>
        <w:t xml:space="preserve">distributions have similar shapes and that the data have no strong outliers.</w:t>
      </w:r>
    </w:p>
    <w:p>
      <w:pPr>
        <w:pStyle w:val="Heading3"/>
      </w:pPr>
      <w:bookmarkStart w:id="25" w:name="notation"/>
      <w:r>
        <w:t xml:space="preserve">Notation</w:t>
      </w:r>
      <w:bookmarkEnd w:id="25"/>
    </w:p>
    <w:p>
      <w:pPr>
        <w:pStyle w:val="FirstParagraph"/>
      </w:pPr>
      <w:r>
        <w:t xml:space="preserve">Notation for the population parameters: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Population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Population SD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</w:tbl>
    <w:p>
      <w:pPr>
        <w:pStyle w:val="Heading3"/>
      </w:pPr>
      <w:bookmarkStart w:id="26" w:name="notation-1"/>
      <w:r>
        <w:t xml:space="preserve">Notation</w:t>
      </w:r>
      <w:bookmarkEnd w:id="26"/>
    </w:p>
    <w:p>
      <w:pPr>
        <w:pStyle w:val="FirstParagraph"/>
      </w:pPr>
      <w:r>
        <w:t xml:space="preserve">Notation for the sample statistics: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Sample 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Sample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Sample SD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bar>
            </m:oMath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bar>
            </m:oMath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</w:tbl>
    <w:p>
      <w:pPr>
        <w:pStyle w:val="BodyText"/>
      </w:pPr>
      <w:r>
        <w:t xml:space="preserve">To perform inference about the difference between the means (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), we</w:t>
      </w:r>
      <w:r>
        <w:t xml:space="preserve"> </w:t>
      </w:r>
      <w:r>
        <w:t xml:space="preserve">first estimate the difference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  <m:sub>
            <m:r>
              <m:t>1</m:t>
            </m:r>
          </m:sub>
        </m:sSub>
        <m:r>
          <m:t>−</m:t>
        </m:r>
        <m:sSub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  <m:sub>
            <m:r>
              <m:t>2</m:t>
            </m:r>
          </m:sub>
        </m:sSub>
      </m:oMath>
      <w:r>
        <w:t xml:space="preserve"> </w:t>
      </w:r>
      <w:r>
        <w:t xml:space="preserve">between the sample means.</w:t>
      </w:r>
    </w:p>
    <w:p>
      <w:pPr>
        <w:pStyle w:val="Heading3"/>
      </w:pPr>
      <w:bookmarkStart w:id="27" w:name="two-sample-t-test"/>
      <w:r>
        <w:t xml:space="preserve">Two-sample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test</w:t>
      </w:r>
      <w:bookmarkEnd w:id="27"/>
    </w:p>
    <w:p>
      <w:pPr>
        <w:numPr>
          <w:numId w:val="1007"/>
          <w:ilvl w:val="0"/>
        </w:numPr>
      </w:pPr>
      <w:r>
        <w:t xml:space="preserve">With one-sample tests, we have one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and we sketch the sampling</w:t>
      </w:r>
      <w:r>
        <w:t xml:space="preserve"> </w:t>
      </w:r>
      <w:r>
        <w:t xml:space="preserve">distribution for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. It is centered at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with standard error</w:t>
      </w:r>
      <w:r>
        <w:t xml:space="preserve"> </w:t>
      </w:r>
      <m:oMath>
        <m:r>
          <m:t>σ</m:t>
        </m:r>
        <m:r>
          <m:t>/</m:t>
        </m:r>
        <m:rad>
          <m:radPr>
            <m:degHide m:val="1"/>
          </m:radPr>
          <m:deg/>
          <m:e>
            <m:r>
              <m:t>n</m:t>
            </m:r>
          </m:e>
        </m:rad>
      </m:oMath>
    </w:p>
    <w:p>
      <w:pPr>
        <w:numPr>
          <w:numId w:val="1007"/>
          <w:ilvl w:val="0"/>
        </w:numPr>
      </w:pPr>
      <w:r>
        <w:t xml:space="preserve">With two-samples, we have two sample averages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numId w:val="1007"/>
          <w:ilvl w:val="0"/>
        </w:numPr>
      </w:pPr>
      <w:r>
        <w:t xml:space="preserve">What do we do?</w:t>
      </w:r>
    </w:p>
    <w:p>
      <w:pPr>
        <w:pStyle w:val="Heading3"/>
      </w:pPr>
      <w:bookmarkStart w:id="28" w:name="Xeb3e6a15312fe28b516dc6fc4472f857c0702f8"/>
      <w:r>
        <w:t xml:space="preserve">Example with adolescent heights from two different countries</w:t>
      </w:r>
      <w:bookmarkEnd w:id="28"/>
    </w:p>
    <w:p>
      <w:pPr>
        <w:pStyle w:val="FirstParagraph"/>
      </w:pPr>
      <w:r>
        <w:t xml:space="preserve">Are the heights of US and Dutch-born men different?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country sample_mean sample_sd length</w:t>
      </w:r>
      <w:r>
        <w:br/>
      </w:r>
      <w:r>
        <w:rPr>
          <w:rStyle w:val="VerbatimChar"/>
        </w:rPr>
        <w:t xml:space="preserve">##   &lt;chr&gt;         &lt;dbl&gt;     &lt;dbl&gt;  &lt;int&gt;</w:t>
      </w:r>
      <w:r>
        <w:br/>
      </w:r>
      <w:r>
        <w:rPr>
          <w:rStyle w:val="VerbatimChar"/>
        </w:rPr>
        <w:t xml:space="preserve">## 1 Dutch          184.      6.75    100</w:t>
      </w:r>
      <w:r>
        <w:br/>
      </w:r>
      <w:r>
        <w:rPr>
          <w:rStyle w:val="VerbatimChar"/>
        </w:rPr>
        <w:t xml:space="preserve">## 2 USA            175.      7.16    100</w:t>
      </w:r>
    </w:p>
    <w:p>
      <w:pPr>
        <w:pStyle w:val="Heading3"/>
      </w:pPr>
      <w:bookmarkStart w:id="29" w:name="compare-the-histograms"/>
      <w:r>
        <w:t xml:space="preserve">Compare the histograms</w:t>
      </w:r>
      <w:bookmarkEnd w:id="29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(height_data,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height))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country),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8_Comparing-two-mean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compare-the-boxplots"/>
      <w:r>
        <w:t xml:space="preserve">Compare the boxplots</w:t>
      </w:r>
      <w:bookmarkEnd w:id="3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(height_data,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height))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country),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8_Comparing-two-mea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X3b788d1e4afd3b646b4e4519764c666bfd48dd6"/>
      <w:r>
        <w:t xml:space="preserve">Example with adolescent heights from two different populations</w:t>
      </w:r>
      <w:bookmarkEnd w:id="33"/>
    </w:p>
    <w:p>
      <w:pPr>
        <w:pStyle w:val="FirstParagraph"/>
      </w:pPr>
      <w:r>
        <w:t xml:space="preserve">Are the heights of US and Dutch-born men different?</w:t>
      </w:r>
    </w:p>
    <w:p>
      <w:pPr>
        <w:pStyle w:val="BodyText"/>
      </w:pPr>
      <m:oMath>
        <m:sSub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  <m:sub>
            <m:r>
              <m:t>U</m:t>
            </m:r>
            <m:r>
              <m:t>S</m:t>
            </m:r>
            <m:r>
              <m:t>A</m:t>
            </m:r>
          </m:sub>
        </m:sSub>
        <m:r>
          <m:t>=</m:t>
        </m:r>
        <m:r>
          <m:t>174.7042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  <m:sub>
            <m:r>
              <m:t>D</m:t>
            </m:r>
          </m:sub>
        </m:sSub>
        <m:r>
          <m:t>=</m:t>
        </m:r>
        <m:r>
          <m:t>183.6690</m:t>
        </m:r>
      </m:oMath>
      <w:r>
        <w:t xml:space="preserve"> </w:t>
      </w:r>
      <w:r>
        <w:t xml:space="preserve">so the difference is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  <m:sub>
            <m:r>
              <m:t>D</m:t>
            </m:r>
          </m:sub>
        </m:sSub>
        <m:r>
          <m:t>−</m:t>
        </m:r>
        <m:sSub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  <m:sub>
            <m:r>
              <m:t>U</m:t>
            </m:r>
            <m:r>
              <m:t>S</m:t>
            </m:r>
            <m:r>
              <m:t>A</m:t>
            </m:r>
          </m:sub>
        </m:sSub>
        <m:r>
          <m:t>=</m:t>
        </m:r>
        <m:r>
          <m:t>8.9648</m:t>
        </m:r>
      </m:oMath>
    </w:p>
    <w:p>
      <w:pPr>
        <w:pStyle w:val="BodyText"/>
      </w:pPr>
      <w:r>
        <w:t xml:space="preserve">What would happen if we took another set of two samples of USA and Dutch-born</w:t>
      </w:r>
      <w:r>
        <w:t xml:space="preserve"> </w:t>
      </w:r>
      <w:r>
        <w:t xml:space="preserve">men? We would expect these sample means to change. We could draw an approximate</w:t>
      </w:r>
      <w:r>
        <w:t xml:space="preserve"> </w:t>
      </w:r>
      <w:r>
        <w:rPr>
          <w:b/>
        </w:rPr>
        <w:t xml:space="preserve">sampling distribution for the difference</w:t>
      </w:r>
      <w:r>
        <w:t xml:space="preserve"> </w:t>
      </w:r>
      <w:r>
        <w:t xml:space="preserve">between these two means.</w:t>
      </w:r>
    </w:p>
    <w:p>
      <w:pPr>
        <w:pStyle w:val="Heading3"/>
      </w:pPr>
      <w:bookmarkStart w:id="34" w:name="Xd196d4b9b49a9a74600d5abd0ffcd07439af63c"/>
      <w:r>
        <w:t xml:space="preserve">The sampling distribution of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  <m:sub>
            <m:r>
              <m:t>1</m:t>
            </m:r>
          </m:sub>
        </m:sSub>
        <m:r>
          <m:t>−</m:t>
        </m:r>
        <m:sSub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  <m:sub>
            <m:r>
              <m:t>2</m:t>
            </m:r>
          </m:sub>
        </m:sSub>
      </m:oMath>
      <w:bookmarkEnd w:id="34"/>
    </w:p>
    <w:p>
      <w:pPr>
        <w:pStyle w:val="FirstParagraph"/>
      </w:pPr>
      <w:r>
        <w:t xml:space="preserve">The distribution of the difference between two independent random variables has</w:t>
      </w:r>
      <w:r>
        <w:t xml:space="preserve"> </w:t>
      </w:r>
      <w:r>
        <w:t xml:space="preserve">a mean equal to the difference of their respective means and a variance equal to</w:t>
      </w:r>
      <w:r>
        <w:t xml:space="preserve"> </w:t>
      </w:r>
      <w:r>
        <w:t xml:space="preserve">the sum of their respective variances. That is:</w:t>
      </w:r>
    </w:p>
    <w:p>
      <w:pPr>
        <w:pStyle w:val="Compact"/>
        <w:numPr>
          <w:numId w:val="1008"/>
          <w:ilvl w:val="0"/>
        </w:numPr>
      </w:pPr>
      <w:r>
        <w:t xml:space="preserve">The mean of the sampling distribution for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  <m:sub>
            <m:r>
              <m:t>1</m:t>
            </m:r>
          </m:sub>
        </m:sSub>
        <m:r>
          <m:t>−</m:t>
        </m:r>
        <m:sSub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The variance of the sampling distribution is:</w:t>
      </w:r>
      <w:r>
        <w:t xml:space="preserve"> </w:t>
      </w:r>
      <m:oMath>
        <m:f>
          <m:fPr>
            <m:type m:val="bar"/>
          </m:fPr>
          <m:num>
            <m:sSubSup>
              <m:e>
                <m:r>
                  <m:t>σ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den>
        </m:f>
        <m:r>
          <m:t>+</m:t>
        </m:r>
        <m:f>
          <m:fPr>
            <m:type m:val="bar"/>
          </m:fPr>
          <m:num>
            <m:sSubSup>
              <m:e>
                <m:r>
                  <m:t>σ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den>
        </m:f>
      </m:oMath>
    </w:p>
    <w:p>
      <w:pPr>
        <w:pStyle w:val="Compact"/>
        <w:numPr>
          <w:numId w:val="1008"/>
          <w:ilvl w:val="0"/>
        </w:numPr>
      </w:pPr>
      <w:r>
        <w:t xml:space="preserve">The standard deviation of the sampling distribution is:</w:t>
      </w:r>
      <w:r>
        <w:t xml:space="preserve"> </w:t>
      </w:r>
      <m:oMath>
        <m:rad>
          <m:radPr>
            <m:degHide m:val="1"/>
          </m:radPr>
          <m:deg/>
          <m:e>
            <m:f>
              <m:fPr>
                <m:type m:val="bar"/>
              </m:fPr>
              <m:num>
                <m:sSubSup>
                  <m:e>
                    <m:r>
                      <m:t>σ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t>+</m:t>
            </m:r>
            <m:f>
              <m:fPr>
                <m:type m:val="bar"/>
              </m:fPr>
              <m:num>
                <m:sSubSup>
                  <m:e>
                    <m:r>
                      <m:t>σ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den>
            </m:f>
          </m:e>
        </m:rad>
      </m:oMath>
    </w:p>
    <w:p>
      <w:pPr>
        <w:pStyle w:val="Compact"/>
        <w:numPr>
          <w:numId w:val="1008"/>
          <w:ilvl w:val="0"/>
        </w:numPr>
      </w:pPr>
      <w:r>
        <w:t xml:space="preserve">Our</w:t>
      </w:r>
      <w:r>
        <w:t xml:space="preserve"> </w:t>
      </w:r>
      <w:r>
        <w:rPr>
          <w:i/>
        </w:rPr>
        <w:t xml:space="preserve">estimate</w:t>
      </w:r>
      <w:r>
        <w:t xml:space="preserve"> </w:t>
      </w:r>
      <w:r>
        <w:t xml:space="preserve">of the standard deviation of the sampling distribution is:</w:t>
      </w:r>
      <w:r>
        <w:t xml:space="preserve"> </w:t>
      </w:r>
      <m:oMath>
        <m:r>
          <m:t>S</m:t>
        </m:r>
        <m:r>
          <m:t>E</m:t>
        </m:r>
        <m: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bSup>
                  <m:e>
                    <m:r>
                      <m:t>s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t>+</m:t>
            </m:r>
            <m:f>
              <m:fPr>
                <m:type m:val="bar"/>
              </m:fPr>
              <m:num>
                <m:sSubSup>
                  <m:e>
                    <m:r>
                      <m:t>s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den>
            </m:f>
          </m:e>
        </m:rad>
      </m:oMath>
    </w:p>
    <w:p>
      <w:pPr>
        <w:pStyle w:val="Heading3"/>
      </w:pPr>
      <w:bookmarkStart w:id="35" w:name="recall-the-t-test"/>
      <w:r>
        <w:t xml:space="preserve">Recall the t-test</w:t>
      </w:r>
      <w:bookmarkEnd w:id="35"/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s</m:t>
              </m:r>
              <m:r>
                <m:t>/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We need to generalize this by replacing each piece in the z-test by the</w:t>
      </w:r>
      <w:r>
        <w:t xml:space="preserve"> </w:t>
      </w:r>
      <w:r>
        <w:t xml:space="preserve">calculations on the previous slide: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two-sample</w:t>
      </w:r>
      <w:r>
        <w:t xml:space="preserve"> </w:t>
      </w:r>
      <w:r>
        <w:t xml:space="preserve">t-test is therefore: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−</m:t>
              </m:r>
              <m:r>
                <m:t>(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num>
            <m:den>
              <m:r>
                <m:t>S</m:t>
              </m:r>
              <m:r>
                <m:t>E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−</m:t>
              </m:r>
              <m:r>
                <m:t>(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>
      <w:pPr>
        <w:pStyle w:val="FirstParagraph"/>
      </w:pPr>
      <w:r>
        <w:t xml:space="preserve">The two-sample t statistics has approximately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distribution. The approximation</w:t>
      </w:r>
      <w:r>
        <w:t xml:space="preserve"> </w:t>
      </w:r>
      <w:r>
        <w:t xml:space="preserve">is accurate when both sample sizes are greater than or equal to 5.</w:t>
      </w:r>
    </w:p>
    <w:p>
      <w:pPr>
        <w:pStyle w:val="Heading3"/>
      </w:pPr>
      <w:bookmarkStart w:id="36" w:name="Xa6b07074eda802f63513f690a83093fba59dade"/>
      <w:r>
        <w:t xml:space="preserve">Degrees of freedom for the two-sample t-test…</w:t>
      </w:r>
      <w:bookmarkEnd w:id="36"/>
    </w:p>
    <w:p>
      <w:pPr>
        <w:pStyle w:val="FirstParagraph"/>
      </w:pPr>
      <w:r>
        <w:t xml:space="preserve">is bananas.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f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f>
                <m:fPr>
                  <m:type m:val="bar"/>
                </m:fPr>
                <m:num>
                  <m:sSubSup>
                    <m:e>
                      <m:r>
                        <m:t>s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+</m:t>
              </m:r>
              <m:f>
                <m:fPr>
                  <m:type m:val="bar"/>
                </m:fPr>
                <m:num>
                  <m:sSubSup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r>
                    <m:t>1</m:t>
                  </m:r>
                </m:den>
              </m:f>
              <m:r>
                <m:t>(</m:t>
              </m:r>
              <m:f>
                <m:fPr>
                  <m:type m:val="bar"/>
                </m:fPr>
                <m:num>
                  <m:sSubSup>
                    <m:e>
                      <m:r>
                        <m:t>s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−</m:t>
                  </m:r>
                  <m:r>
                    <m:t>1</m:t>
                  </m:r>
                </m:den>
              </m:f>
              <m:r>
                <m:t>(</m:t>
              </m:r>
              <m:f>
                <m:fPr>
                  <m:type m:val="bar"/>
                </m:fPr>
                <m:num>
                  <m:sSubSup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numId w:val="1009"/>
          <w:ilvl w:val="0"/>
        </w:numPr>
      </w:pPr>
      <m:oMath>
        <m:sSup>
          <m:e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</m:e>
          <m:sup>
            <m:r>
              <m:t>2</m:t>
            </m:r>
          </m:sup>
        </m:sSup>
      </m:oMath>
      <w:r>
        <w:t xml:space="preserve"> </w:t>
      </w:r>
      <w:r>
        <w:t xml:space="preserve">is the sample variance for sample #1</w:t>
      </w:r>
    </w:p>
    <w:p>
      <w:pPr>
        <w:pStyle w:val="Compact"/>
        <w:numPr>
          <w:numId w:val="1009"/>
          <w:ilvl w:val="0"/>
        </w:numPr>
      </w:pPr>
      <m:oMath>
        <m:sSup>
          <m:e>
            <m:sSub>
              <m:e>
                <m:r>
                  <m:t>s</m:t>
                </m:r>
              </m:e>
              <m:sub>
                <m:r>
                  <m:t>2</m:t>
                </m:r>
              </m:sub>
            </m:sSub>
          </m:e>
          <m:sup>
            <m:r>
              <m:t>2</m:t>
            </m:r>
          </m:sup>
        </m:sSup>
      </m:oMath>
      <w:r>
        <w:t xml:space="preserve"> </w:t>
      </w:r>
      <w:r>
        <w:t xml:space="preserve">is the sample variance for sample #2</w:t>
      </w:r>
    </w:p>
    <w:p>
      <w:pPr>
        <w:pStyle w:val="Compact"/>
        <w:numPr>
          <w:numId w:val="1009"/>
          <w:ilvl w:val="0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sample size for sample #1</w:t>
      </w:r>
    </w:p>
    <w:p>
      <w:pPr>
        <w:pStyle w:val="Compact"/>
        <w:numPr>
          <w:numId w:val="1009"/>
          <w:ilvl w:val="0"/>
        </w:numPr>
      </w:pP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sample size for sample #2</w:t>
      </w:r>
    </w:p>
    <w:p>
      <w:pPr>
        <w:pStyle w:val="Heading3"/>
      </w:pPr>
      <w:bookmarkStart w:id="37" w:name="X700b2738281034eb179633c905555d3c7036a21"/>
      <w:r>
        <w:t xml:space="preserve">Confidence intervals for the two-sample t-test</w:t>
      </w:r>
      <w:bookmarkEnd w:id="37"/>
    </w:p>
    <w:p>
      <w:pPr>
        <w:pStyle w:val="FirstParagraph"/>
      </w:pPr>
      <m:oMath>
        <m:r>
          <m:t>(</m:t>
        </m:r>
        <m:bar>
          <m:barPr>
            <m:pos m:val="top"/>
          </m:bar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bar>
        <m:r>
          <m:t>−</m:t>
        </m:r>
        <m:bar>
          <m:barPr>
            <m:pos m:val="top"/>
          </m:bar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bar>
        <m:r>
          <m:t>)</m:t>
        </m:r>
        <m:r>
          <m:t>±</m:t>
        </m:r>
        <m:sSup>
          <m:e>
            <m:r>
              <m:t>t</m:t>
            </m:r>
          </m:e>
          <m:sup>
            <m:r>
              <m:t>*</m:t>
            </m:r>
          </m:sup>
        </m:sSup>
        <m:rad>
          <m:radPr>
            <m:degHide m:val="1"/>
          </m:radPr>
          <m:deg/>
          <m:e>
            <m:f>
              <m:fPr>
                <m:type m:val="bar"/>
              </m:fPr>
              <m:num>
                <m:sSubSup>
                  <m:e>
                    <m:r>
                      <m:t>s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t>+</m:t>
            </m:r>
            <m:f>
              <m:fPr>
                <m:type m:val="bar"/>
              </m:fPr>
              <m:num>
                <m:sSubSup>
                  <m:e>
                    <m:r>
                      <m:t>s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den>
            </m:f>
          </m:e>
        </m:rad>
      </m:oMath>
      <w:r>
        <w:t xml:space="preserve">,</w:t>
      </w:r>
    </w:p>
    <w:p>
      <w:pPr>
        <w:pStyle w:val="BodyText"/>
      </w:pPr>
      <w:r>
        <w:t xml:space="preserve">where</w:t>
      </w:r>
      <w:r>
        <w:t xml:space="preserve"> </w:t>
      </w:r>
      <m:oMath>
        <m:sSup>
          <m:e>
            <m:r>
              <m:t>t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is the critical value with area C between</w:t>
      </w:r>
      <w:r>
        <w:t xml:space="preserve"> </w:t>
      </w:r>
      <m:oMath>
        <m:r>
          <m:t>−</m:t>
        </m:r>
        <m:sSup>
          <m:e>
            <m:r>
              <m:t>t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t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under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density curve with the appropriate degrees of freedom.</w:t>
      </w:r>
    </w:p>
    <w:p>
      <w:pPr>
        <w:pStyle w:val="Heading3"/>
      </w:pPr>
      <w:bookmarkStart w:id="38" w:name="X364dbb0d688b4a72dfe69feaa08ffea61535c68"/>
      <w:r>
        <w:t xml:space="preserve">Hypothesis testing when you have two samples</w:t>
      </w:r>
      <w:bookmarkEnd w:id="38"/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r>
          <m:t>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≠</m:t>
        </m:r>
        <m:r>
          <m:t>0</m:t>
        </m:r>
      </m:oMath>
    </w:p>
    <w:p>
      <w:pPr>
        <w:pStyle w:val="BodyText"/>
      </w:pPr>
      <w:r>
        <w:t xml:space="preserve">Here we consider the two-sided alternative hypothesis, but you could be interested</w:t>
      </w:r>
      <w:r>
        <w:t xml:space="preserve"> </w:t>
      </w:r>
      <w:r>
        <w:t xml:space="preserve">in the one-sided alternative in either direction: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&gt;</m:t>
        </m:r>
        <m:r>
          <m:t>0</m:t>
        </m:r>
      </m:oMath>
    </w:p>
    <w:p>
      <w:pPr>
        <w:pStyle w:val="BodyText"/>
      </w:pPr>
      <w:r>
        <w:t xml:space="preserve">Obtain the</w:t>
      </w:r>
      <w:r>
        <w:t xml:space="preserve"> </w:t>
      </w:r>
      <w:r>
        <w:rPr>
          <w:b/>
        </w:rPr>
        <w:t xml:space="preserve">two-sample t-test</w:t>
      </w:r>
      <w:r>
        <w:t xml:space="preserve"> </w:t>
      </w:r>
      <w:r>
        <w:t xml:space="preserve">statistic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−</m:t>
              </m:r>
              <m:r>
                <m:t>(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>
      <w:pPr>
        <w:pStyle w:val="FirstParagraph"/>
      </w:pPr>
      <w:r>
        <w:t xml:space="preserve">Under the two-sided alternative: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−</m:t>
              </m:r>
              <m:r>
                <m:t>0</m:t>
              </m:r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w:r>
        <w:rPr>
          <w:b/>
        </w:rPr>
        <w:t xml:space="preserve">p-value</w:t>
      </w:r>
      <w:r>
        <w:t xml:space="preserve"> </w:t>
      </w:r>
      <w:r>
        <w:t xml:space="preserve">is the probability, assuming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true, of getting a</w:t>
      </w:r>
      <w:r>
        <w:t xml:space="preserve"> </w:t>
      </w:r>
      <w:r>
        <w:t xml:space="preserve">test statistic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that we saw or a more extreme value. We compute the p-value</w:t>
      </w:r>
      <w:r>
        <w:t xml:space="preserve"> </w:t>
      </w:r>
      <w:r>
        <w:t xml:space="preserve">as the corresponding area under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distribution with the</w:t>
      </w:r>
      <w:r>
        <w:t xml:space="preserve"> </w:t>
      </w:r>
      <w:r>
        <w:t xml:space="preserve">appropriate degrees of freedom.</w:t>
      </w:r>
    </w:p>
    <w:p>
      <w:pPr>
        <w:pStyle w:val="Heading3"/>
      </w:pPr>
      <w:bookmarkStart w:id="39" w:name="example-continued"/>
      <w:r>
        <w:t xml:space="preserve">Example, continued</w:t>
      </w:r>
      <w:bookmarkEnd w:id="39"/>
    </w:p>
    <w:p>
      <w:pPr>
        <w:pStyle w:val="FirstParagraph"/>
      </w:pPr>
      <w:r>
        <w:t xml:space="preserve">Let R do the work for you: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(height_data_wide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(usa), </w:t>
      </w:r>
      <w:r>
        <w:br/>
      </w:r>
      <w:r>
        <w:rPr>
          <w:rStyle w:val="NormalTok"/>
        </w:rPr>
        <w:t xml:space="preserve">       height_data_wide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(dutch),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height_data_wide %&gt;% pull(usa) and height_data_wide %&gt;% pull(dutch)</w:t>
      </w:r>
      <w:r>
        <w:br/>
      </w:r>
      <w:r>
        <w:rPr>
          <w:rStyle w:val="VerbatimChar"/>
        </w:rPr>
        <w:t xml:space="preserve">## t = -9.1103, df = 197.35,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-10.905418  -7.024282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174.7042  183.6690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t.test</w:t>
      </w:r>
      <w:r>
        <w:t xml:space="preserve"> </w:t>
      </w:r>
      <w:r>
        <w:t xml:space="preserve">gives you both the t-test results (including the t-statistic (called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output), df, and p-value), as well as the 95% CI. We got both because we</w:t>
      </w:r>
      <w:r>
        <w:t xml:space="preserve"> </w:t>
      </w:r>
      <w:r>
        <w:t xml:space="preserve">performed a two-sided test.</w:t>
      </w:r>
    </w:p>
    <w:p>
      <w:pPr>
        <w:pStyle w:val="Heading3"/>
      </w:pPr>
      <w:bookmarkStart w:id="40" w:name="example-2-transgenic-chickens"/>
      <w:r>
        <w:t xml:space="preserve">Example 2: Transgenic chickens</w:t>
      </w:r>
      <w:bookmarkEnd w:id="40"/>
    </w:p>
    <w:p>
      <w:pPr>
        <w:pStyle w:val="FirstParagraph"/>
      </w:pPr>
      <w:r>
        <w:t xml:space="preserve">Infection of chickens with the avian flu is a threat to both poultry production</w:t>
      </w:r>
      <w:r>
        <w:t xml:space="preserve"> </w:t>
      </w:r>
      <w:r>
        <w:t xml:space="preserve">and human health. A research team created transgenic chickens resistant to avian</w:t>
      </w:r>
      <w:r>
        <w:t xml:space="preserve"> </w:t>
      </w:r>
      <w:r>
        <w:t xml:space="preserve">flu infection. Could the modification affect the chicken in other ways? The</w:t>
      </w:r>
      <w:r>
        <w:t xml:space="preserve"> </w:t>
      </w:r>
      <w:r>
        <w:t xml:space="preserve">researchers compared the hatching weights (in grams) of 45 transgenic chickens</w:t>
      </w:r>
      <w:r>
        <w:t xml:space="preserve"> </w:t>
      </w:r>
      <w:r>
        <w:t xml:space="preserve">and 54 independently selected commercial chickens of the same breed.</w:t>
      </w:r>
    </w:p>
    <w:p>
      <w:pPr>
        <w:pStyle w:val="SourceCode"/>
      </w:pPr>
      <w:r>
        <w:rPr>
          <w:rStyle w:val="NormalTok"/>
        </w:rPr>
        <w:t xml:space="preserve">transgenic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43.0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46.4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47.7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48.3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commercial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41.1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43.7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47.3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48.4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48.6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50.2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50.4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chicken_data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(transgenic, commercial),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"transgenic"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"commercial"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8_Comparing-two-mean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8_Comparing-two-mean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X978cfef66ff8c7a95483704c87ce8564bcee207"/>
      <w:r>
        <w:t xml:space="preserve">Estimate the size of the difference between the two means</w:t>
      </w:r>
      <w:bookmarkEnd w:id="43"/>
    </w:p>
    <w:p>
      <w:pPr>
        <w:pStyle w:val="SourceCode"/>
      </w:pPr>
      <w:r>
        <w:rPr>
          <w:rStyle w:val="NormalTok"/>
        </w:rPr>
        <w:t xml:space="preserve">means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chicken_data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means 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type       mean_weight</w:t>
      </w:r>
      <w:r>
        <w:br/>
      </w:r>
      <w:r>
        <w:rPr>
          <w:rStyle w:val="VerbatimChar"/>
        </w:rPr>
        <w:t xml:space="preserve">##   &lt;chr&gt;            &lt;dbl&gt;</w:t>
      </w:r>
      <w:r>
        <w:br/>
      </w:r>
      <w:r>
        <w:rPr>
          <w:rStyle w:val="VerbatimChar"/>
        </w:rPr>
        <w:t xml:space="preserve">## 1 commercial        45.0</w:t>
      </w:r>
      <w:r>
        <w:br/>
      </w:r>
      <w:r>
        <w:rPr>
          <w:rStyle w:val="VerbatimChar"/>
        </w:rPr>
        <w:t xml:space="preserve">## 2 transgenic        45.1</w:t>
      </w:r>
    </w:p>
    <w:p>
      <w:pPr>
        <w:pStyle w:val="SourceCode"/>
      </w:pPr>
      <w:r>
        <w:rPr>
          <w:rStyle w:val="NormalTok"/>
        </w:rPr>
        <w:t xml:space="preserve">diff_means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diff_means</w:t>
      </w:r>
    </w:p>
    <w:p>
      <w:pPr>
        <w:pStyle w:val="SourceCode"/>
      </w:pPr>
      <w:r>
        <w:rPr>
          <w:rStyle w:val="VerbatimChar"/>
        </w:rPr>
        <w:t xml:space="preserve">##   mean_weight</w:t>
      </w:r>
      <w:r>
        <w:br/>
      </w:r>
      <w:r>
        <w:rPr>
          <w:rStyle w:val="VerbatimChar"/>
        </w:rPr>
        <w:t xml:space="preserve">## 1  -0.1533333</w:t>
      </w:r>
    </w:p>
    <w:p>
      <w:pPr>
        <w:pStyle w:val="FirstParagraph"/>
      </w:pPr>
      <w:r>
        <w:t xml:space="preserve">The estimated mean difference is -0.153 grams.</w:t>
      </w:r>
    </w:p>
    <w:p>
      <w:pPr>
        <w:pStyle w:val="Heading3"/>
      </w:pPr>
      <w:bookmarkStart w:id="44" w:name="estimate-the-standard-error"/>
      <w:r>
        <w:t xml:space="preserve">Estimate the standard error</w:t>
      </w:r>
      <w:bookmarkEnd w:id="44"/>
    </w:p>
    <w:p>
      <w:pPr>
        <w:pStyle w:val="FirstParagraph"/>
      </w:pPr>
      <m:oMath>
        <m:r>
          <m:t>S</m:t>
        </m:r>
        <m:r>
          <m:t>E</m:t>
        </m:r>
        <m: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bSup>
                  <m:e>
                    <m:r>
                      <m:t>s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t>+</m:t>
            </m:r>
            <m:f>
              <m:fPr>
                <m:type m:val="bar"/>
              </m:fPr>
              <m:num>
                <m:sSubSup>
                  <m:e>
                    <m:r>
                      <m:t>s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den>
            </m:f>
          </m:e>
        </m:rad>
      </m:oMath>
    </w:p>
    <w:p>
      <w:pPr>
        <w:pStyle w:val="SourceCode"/>
      </w:pPr>
      <w:r>
        <w:rPr>
          <w:rStyle w:val="NormalTok"/>
        </w:rPr>
        <w:t xml:space="preserve">chicken_stats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chicken_data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sd_weight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(weight),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(weight)) 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t xml:space="preserve">Use the output to calculate the SE:</w:t>
      </w:r>
    </w:p>
    <w:p>
      <w:pPr>
        <w:pStyle w:val="BodyText"/>
      </w:pPr>
      <m:oMath>
        <m:r>
          <m:t>S</m:t>
        </m:r>
        <m:r>
          <m:t>E</m:t>
        </m:r>
        <m: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p>
                  <m:e>
                    <m:r>
                      <m:t>4.568872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54</m:t>
                </m:r>
              </m:den>
            </m:f>
            <m:r>
              <m:t>+</m:t>
            </m:r>
            <m:f>
              <m:fPr>
                <m:type m:val="bar"/>
              </m:fPr>
              <m:num>
                <m:sSup>
                  <m:e>
                    <m:r>
                      <m:t>3.320836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45</m:t>
                </m:r>
              </m:den>
            </m:f>
          </m:e>
        </m:rad>
        <m:r>
          <m:t>=</m:t>
        </m:r>
        <m:r>
          <m:t>0.7947528</m:t>
        </m:r>
      </m:oMath>
    </w:p>
    <w:p>
      <w:pPr>
        <w:pStyle w:val="Heading3"/>
      </w:pPr>
      <w:bookmarkStart w:id="45" w:name="calculate-the-t-statistic"/>
      <w:r>
        <w:t xml:space="preserve">Calculate the t-statistic</w:t>
      </w:r>
      <w:bookmarkEnd w:id="45"/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−</m:t>
              </m:r>
              <m:r>
                <m:t>(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44.98889</m:t>
              </m:r>
              <m:r>
                <m:t>−</m:t>
              </m:r>
              <m:r>
                <m:t>45.14222</m:t>
              </m:r>
              <m:r>
                <m:t>)</m:t>
              </m:r>
              <m:r>
                <m:t>−</m:t>
              </m:r>
              <m:r>
                <m:t>(</m:t>
              </m:r>
              <m:r>
                <m:t>0</m:t>
              </m:r>
              <m:r>
                <m:t>)</m:t>
              </m:r>
            </m:num>
            <m:den>
              <m:r>
                <m:t>0.7947528</m:t>
              </m:r>
            </m:den>
          </m:f>
          <m:r>
            <m:t>=</m:t>
          </m:r>
          <m:r>
            <m:t>−</m:t>
          </m:r>
          <m:r>
            <m:t>0.1929279</m:t>
          </m:r>
        </m:oMath>
      </m:oMathPara>
    </w:p>
    <w:p>
      <w:pPr>
        <w:pStyle w:val="FirstParagraph"/>
      </w:pPr>
      <w:r>
        <w:t xml:space="preserve">What is the chance of observing the t-statistic -0.193 on the t-distribution</w:t>
      </w:r>
      <w:r>
        <w:t xml:space="preserve"> </w:t>
      </w:r>
      <w:r>
        <w:t xml:space="preserve">with the appropriate degrees of freedom?</w:t>
      </w:r>
    </w:p>
    <w:p>
      <w:pPr>
        <w:pStyle w:val="BodyText"/>
      </w:pPr>
      <w:r>
        <w:t xml:space="preserve">To answer this, we would need to calculate the degrees of freedom using the</w:t>
      </w:r>
      <w:r>
        <w:t xml:space="preserve"> </w:t>
      </w:r>
      <w:r>
        <w:t xml:space="preserve">complicated formula from a few slides previous. We won’t do this. Instead, we will ask R to do the test for us</w:t>
      </w:r>
      <w:r>
        <w:t xml:space="preserve"> </w:t>
      </w:r>
      <w:r>
        <w:t xml:space="preserve">(and verify that our calculated t-statistic matches R’s test)</w:t>
      </w:r>
    </w:p>
    <w:p>
      <w:pPr>
        <w:pStyle w:val="Heading3"/>
      </w:pPr>
      <w:bookmarkStart w:id="46" w:name="t.test-in-r"/>
      <w:r>
        <w:rPr>
          <w:rStyle w:val="VerbatimChar"/>
        </w:rPr>
        <w:t xml:space="preserve">t.test</w:t>
      </w:r>
      <w:r>
        <w:t xml:space="preserve"> </w:t>
      </w:r>
      <w:r>
        <w:t xml:space="preserve">in R</w:t>
      </w:r>
      <w:bookmarkEnd w:id="46"/>
    </w:p>
    <w:p>
      <w:pPr>
        <w:pStyle w:val="FirstParagraph"/>
      </w:pPr>
      <w:r>
        <w:t xml:space="preserve">Pay attention to the arguments specified by</w:t>
      </w:r>
      <w:r>
        <w:t xml:space="preserve"> </w:t>
      </w:r>
      <w:r>
        <w:rPr>
          <w:rStyle w:val="VerbatimChar"/>
        </w:rPr>
        <w:t xml:space="preserve">t.test</w:t>
      </w:r>
      <w:r>
        <w:t xml:space="preserve">. Below, the first argument is the</w:t>
      </w:r>
      <w:r>
        <w:t xml:space="preserve"> </w:t>
      </w:r>
      <w:r>
        <w:t xml:space="preserve">weight data for the commercial chickens and the second argument is the weight</w:t>
      </w:r>
      <w:r>
        <w:t xml:space="preserve"> </w:t>
      </w:r>
      <w:r>
        <w:t xml:space="preserve">data for the transgenic chickens.</w:t>
      </w:r>
    </w:p>
    <w:p>
      <w:pPr>
        <w:pStyle w:val="SourceCode"/>
      </w:pPr>
      <w:r>
        <w:rPr>
          <w:rStyle w:val="NormalTok"/>
        </w:rPr>
        <w:t xml:space="preserve">commercial_weight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chicken_data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"commercial"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(weight)</w:t>
      </w:r>
      <w:r>
        <w:br/>
      </w:r>
      <w:r>
        <w:rPr>
          <w:rStyle w:val="NormalTok"/>
        </w:rPr>
        <w:t xml:space="preserve">transgenic_weight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chicken_data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"transgenic"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(weight)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(commercial_weight, transgenic_weight,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commercial_weight and transgenic_weight</w:t>
      </w:r>
      <w:r>
        <w:br/>
      </w:r>
      <w:r>
        <w:rPr>
          <w:rStyle w:val="VerbatimChar"/>
        </w:rPr>
        <w:t xml:space="preserve">## t = -0.19293, df = 95.344, p-value = 0.8474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-1.731044  1.424377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44.98889  45.14222</w:t>
      </w:r>
    </w:p>
    <w:p>
      <w:pPr>
        <w:pStyle w:val="FirstParagraph"/>
      </w:pPr>
      <w:r>
        <w:t xml:space="preserve">What happens if you flip the order?</w:t>
      </w:r>
    </w:p>
    <w:p>
      <w:pPr>
        <w:pStyle w:val="Compact"/>
        <w:numPr>
          <w:numId w:val="1010"/>
          <w:ilvl w:val="0"/>
        </w:numPr>
      </w:pPr>
      <w:r>
        <w:t xml:space="preserve">If you flip the order, the test statistic flips signs (from negative to positive or vice versa) as does the values for the CI. The p-value and df stays the same.</w:t>
      </w:r>
    </w:p>
    <w:p>
      <w:pPr>
        <w:pStyle w:val="Heading3"/>
      </w:pPr>
      <w:bookmarkStart w:id="47" w:name="robustness-of-the-two-sample-t-test"/>
      <w:r>
        <w:t xml:space="preserve">Robustness of the two-sample t-test</w:t>
      </w:r>
      <w:bookmarkEnd w:id="47"/>
    </w:p>
    <w:p>
      <w:pPr>
        <w:pStyle w:val="Compact"/>
        <w:numPr>
          <w:numId w:val="1011"/>
          <w:ilvl w:val="0"/>
        </w:numPr>
      </w:pPr>
      <w:r>
        <w:t xml:space="preserve">These procedures are more robust than the one-sample t-test, especially</w:t>
      </w:r>
      <w:r>
        <w:t xml:space="preserve"> </w:t>
      </w:r>
      <w:r>
        <w:t xml:space="preserve">if the data are skewed.</w:t>
      </w:r>
    </w:p>
    <w:p>
      <w:pPr>
        <w:pStyle w:val="Compact"/>
        <w:numPr>
          <w:numId w:val="1011"/>
          <w:ilvl w:val="0"/>
        </w:numPr>
      </w:pPr>
      <w:r>
        <w:t xml:space="preserve">When the sizes of the two samples are equal and the two populations being</w:t>
      </w:r>
      <w:r>
        <w:t xml:space="preserve"> </w:t>
      </w:r>
      <w:r>
        <w:t xml:space="preserve">compared have similar shapes, the two-sample t-test will work well for sample sizes</w:t>
      </w:r>
      <w:r>
        <w:t xml:space="preserve"> </w:t>
      </w:r>
      <w:r>
        <w:t xml:space="preserve">as small as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5</m:t>
        </m:r>
      </m:oMath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When the two populations have different shapes, larger samples are needed</w:t>
      </w:r>
      <w:r>
        <w:t xml:space="preserve"> </w:t>
      </w:r>
      <w:r>
        <w:t xml:space="preserve">(e.g., one skewed left and the other skewed right).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18: Comparing two population means</dc:title>
  <dc:creator>Corinne Riddell</dc:creator>
  <cp:keywords/>
  <dcterms:created xsi:type="dcterms:W3CDTF">2020-10-26T02:46:43Z</dcterms:created>
  <dcterms:modified xsi:type="dcterms:W3CDTF">2020-10-26T02:46:43Z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26, 2020</vt:lpwstr>
  </property>
  <property fmtid="{D5CDD505-2E9C-101B-9397-08002B2CF9AE}" pid="3" name="output">
    <vt:lpwstr>word_document</vt:lpwstr>
  </property>
</Properties>
</file>