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40674" w14:textId="77777777" w:rsidR="00292092" w:rsidRDefault="00292092">
      <w:pPr>
        <w:spacing w:before="800"/>
      </w:pPr>
    </w:p>
    <w:p w14:paraId="54D8840E" w14:textId="77777777" w:rsidR="00292092" w:rsidRPr="00BE0E7E" w:rsidRDefault="00000000">
      <w:pPr>
        <w:jc w:val="center"/>
        <w:rPr>
          <w:lang w:val="en-US"/>
        </w:rPr>
      </w:pPr>
      <w:r w:rsidRPr="00BE0E7E">
        <w:rPr>
          <w:b/>
          <w:bCs/>
          <w:color w:val="595959"/>
          <w:sz w:val="26"/>
          <w:szCs w:val="26"/>
          <w:lang w:val="en-US"/>
        </w:rPr>
        <w:t>ETML — P_FUN</w:t>
      </w:r>
    </w:p>
    <w:p w14:paraId="114EE6DA" w14:textId="77777777" w:rsidR="00292092" w:rsidRPr="00BE0E7E" w:rsidRDefault="00000000">
      <w:pPr>
        <w:spacing w:before="200" w:after="60"/>
        <w:jc w:val="center"/>
        <w:rPr>
          <w:lang w:val="en-US"/>
        </w:rPr>
      </w:pPr>
      <w:r w:rsidRPr="00BE0E7E">
        <w:rPr>
          <w:b/>
          <w:bCs/>
          <w:color w:val="1F3864"/>
          <w:sz w:val="52"/>
          <w:szCs w:val="52"/>
          <w:lang w:val="en-US"/>
        </w:rPr>
        <w:t>Plot Those Lines</w:t>
      </w:r>
    </w:p>
    <w:p w14:paraId="1AFB03E7" w14:textId="77777777" w:rsidR="00292092" w:rsidRDefault="00000000">
      <w:pPr>
        <w:spacing w:after="400"/>
        <w:jc w:val="center"/>
      </w:pPr>
      <w:r>
        <w:rPr>
          <w:i/>
          <w:iCs/>
          <w:color w:val="2E74B5"/>
          <w:sz w:val="24"/>
          <w:szCs w:val="24"/>
        </w:rPr>
        <w:t>Logiciel d'affichage de séries temporelles — Domaine : Finance</w:t>
      </w:r>
    </w:p>
    <w:p w14:paraId="2AD16C11" w14:textId="77777777" w:rsidR="00292092" w:rsidRDefault="00000000">
      <w:pPr>
        <w:spacing w:before="300"/>
        <w:jc w:val="center"/>
      </w:pPr>
      <w:r>
        <w:rPr>
          <w:b/>
          <w:bCs/>
          <w:sz w:val="30"/>
          <w:szCs w:val="30"/>
        </w:rPr>
        <w:t>Rapport — Livraison 1</w:t>
      </w:r>
    </w:p>
    <w:p w14:paraId="3F2B9607" w14:textId="77777777" w:rsidR="00292092" w:rsidRDefault="00000000">
      <w:pPr>
        <w:spacing w:after="40"/>
        <w:jc w:val="center"/>
      </w:pPr>
      <w:r>
        <w:rPr>
          <w:sz w:val="22"/>
          <w:szCs w:val="22"/>
        </w:rPr>
        <w:t>Vendredi 4 septembre 2026</w:t>
      </w:r>
    </w:p>
    <w:p w14:paraId="062759D2" w14:textId="77777777" w:rsidR="00292092" w:rsidRDefault="00292092">
      <w:pPr>
        <w:spacing w:before="50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206"/>
      </w:tblGrid>
      <w:tr w:rsidR="00292092" w:rsidRPr="00BE0E7E" w14:paraId="3F1C94ED" w14:textId="77777777">
        <w:tblPrEx>
          <w:tblCellMar>
            <w:top w:w="0" w:type="dxa"/>
            <w:bottom w:w="0" w:type="dxa"/>
          </w:tblCellMar>
        </w:tblPrEx>
        <w:tc>
          <w:tcPr>
            <w:tcW w:w="3000" w:type="dxa"/>
            <w:shd w:val="clear" w:color="auto" w:fill="DCE6F1"/>
            <w:tcMar>
              <w:top w:w="70" w:type="dxa"/>
              <w:left w:w="100" w:type="dxa"/>
              <w:bottom w:w="70" w:type="dxa"/>
              <w:right w:w="100" w:type="dxa"/>
            </w:tcMar>
            <w:vAlign w:val="center"/>
          </w:tcPr>
          <w:p w14:paraId="2EAD8782" w14:textId="77777777" w:rsidR="00292092" w:rsidRDefault="00000000">
            <w:r>
              <w:rPr>
                <w:b/>
                <w:bCs/>
                <w:color w:val="000000"/>
                <w:sz w:val="18"/>
                <w:szCs w:val="18"/>
              </w:rPr>
              <w:t>Client</w:t>
            </w:r>
          </w:p>
        </w:tc>
        <w:tc>
          <w:tcPr>
            <w:tcW w:w="7206" w:type="dxa"/>
            <w:tcMar>
              <w:top w:w="70" w:type="dxa"/>
              <w:left w:w="100" w:type="dxa"/>
              <w:bottom w:w="70" w:type="dxa"/>
              <w:right w:w="100" w:type="dxa"/>
            </w:tcMar>
            <w:vAlign w:val="center"/>
          </w:tcPr>
          <w:p w14:paraId="5234653C" w14:textId="3091C186" w:rsidR="00292092" w:rsidRPr="00BE0E7E" w:rsidRDefault="00000000">
            <w:pPr>
              <w:rPr>
                <w:lang w:val="en-US"/>
              </w:rPr>
            </w:pPr>
            <w:r w:rsidRPr="00BE0E7E">
              <w:rPr>
                <w:color w:val="000000"/>
                <w:sz w:val="18"/>
                <w:szCs w:val="18"/>
                <w:lang w:val="en-US"/>
              </w:rPr>
              <w:t>Jonathan Melly (ETML)</w:t>
            </w:r>
          </w:p>
        </w:tc>
      </w:tr>
      <w:tr w:rsidR="00292092" w14:paraId="3BB7A00A" w14:textId="77777777">
        <w:tblPrEx>
          <w:tblCellMar>
            <w:top w:w="0" w:type="dxa"/>
            <w:bottom w:w="0" w:type="dxa"/>
          </w:tblCellMar>
        </w:tblPrEx>
        <w:tc>
          <w:tcPr>
            <w:tcW w:w="3000" w:type="dxa"/>
            <w:shd w:val="clear" w:color="auto" w:fill="DCE6F1"/>
            <w:tcMar>
              <w:top w:w="70" w:type="dxa"/>
              <w:left w:w="100" w:type="dxa"/>
              <w:bottom w:w="70" w:type="dxa"/>
              <w:right w:w="100" w:type="dxa"/>
            </w:tcMar>
            <w:vAlign w:val="center"/>
          </w:tcPr>
          <w:p w14:paraId="468A11AD" w14:textId="77777777" w:rsidR="00292092" w:rsidRDefault="00000000">
            <w:r>
              <w:rPr>
                <w:b/>
                <w:bCs/>
                <w:color w:val="000000"/>
                <w:sz w:val="18"/>
                <w:szCs w:val="18"/>
              </w:rPr>
              <w:t>Contenu de cette livraison</w:t>
            </w:r>
          </w:p>
        </w:tc>
        <w:tc>
          <w:tcPr>
            <w:tcW w:w="7206" w:type="dxa"/>
            <w:tcMar>
              <w:top w:w="70" w:type="dxa"/>
              <w:left w:w="100" w:type="dxa"/>
              <w:bottom w:w="70" w:type="dxa"/>
              <w:right w:w="100" w:type="dxa"/>
            </w:tcMar>
            <w:vAlign w:val="center"/>
          </w:tcPr>
          <w:p w14:paraId="39D501EC" w14:textId="77777777" w:rsidR="00292092" w:rsidRDefault="00000000">
            <w:r>
              <w:rPr>
                <w:color w:val="000000"/>
                <w:sz w:val="18"/>
                <w:szCs w:val="18"/>
              </w:rPr>
              <w:t>Introduction, analyse fonctionnelle, planification initiale</w:t>
            </w:r>
          </w:p>
        </w:tc>
      </w:tr>
      <w:tr w:rsidR="00292092" w14:paraId="3E9AE97F" w14:textId="77777777">
        <w:tblPrEx>
          <w:tblCellMar>
            <w:top w:w="0" w:type="dxa"/>
            <w:bottom w:w="0" w:type="dxa"/>
          </w:tblCellMar>
        </w:tblPrEx>
        <w:tc>
          <w:tcPr>
            <w:tcW w:w="3000" w:type="dxa"/>
            <w:shd w:val="clear" w:color="auto" w:fill="DCE6F1"/>
            <w:tcMar>
              <w:top w:w="70" w:type="dxa"/>
              <w:left w:w="100" w:type="dxa"/>
              <w:bottom w:w="70" w:type="dxa"/>
              <w:right w:w="100" w:type="dxa"/>
            </w:tcMar>
            <w:vAlign w:val="center"/>
          </w:tcPr>
          <w:p w14:paraId="0E83694A" w14:textId="77777777" w:rsidR="00292092" w:rsidRDefault="00000000">
            <w:r>
              <w:rPr>
                <w:b/>
                <w:bCs/>
                <w:color w:val="000000"/>
                <w:sz w:val="18"/>
                <w:szCs w:val="18"/>
              </w:rPr>
              <w:t>Sections non incluses</w:t>
            </w:r>
          </w:p>
        </w:tc>
        <w:tc>
          <w:tcPr>
            <w:tcW w:w="7206" w:type="dxa"/>
            <w:tcMar>
              <w:top w:w="70" w:type="dxa"/>
              <w:left w:w="100" w:type="dxa"/>
              <w:bottom w:w="70" w:type="dxa"/>
              <w:right w:w="100" w:type="dxa"/>
            </w:tcMar>
            <w:vAlign w:val="center"/>
          </w:tcPr>
          <w:p w14:paraId="626B0490" w14:textId="77777777" w:rsidR="00292092" w:rsidRDefault="00000000">
            <w:r>
              <w:rPr>
                <w:color w:val="000000"/>
                <w:sz w:val="18"/>
                <w:szCs w:val="18"/>
              </w:rPr>
              <w:t>Rapport de tests, bilans, conclusion, usage de l'IA — livrés le 30.10.2026</w:t>
            </w:r>
          </w:p>
        </w:tc>
      </w:tr>
    </w:tbl>
    <w:p w14:paraId="57FC772A" w14:textId="77777777" w:rsidR="00292092" w:rsidRDefault="00000000">
      <w:r>
        <w:br w:type="page"/>
      </w:r>
    </w:p>
    <w:p w14:paraId="0B7471C9" w14:textId="77777777" w:rsidR="00292092" w:rsidRDefault="00000000">
      <w:pPr>
        <w:pStyle w:val="Titre1"/>
        <w:spacing w:before="320" w:after="150"/>
      </w:pPr>
      <w:r>
        <w:rPr>
          <w:b/>
          <w:bCs/>
          <w:color w:val="1F3864"/>
          <w:sz w:val="28"/>
          <w:szCs w:val="28"/>
        </w:rPr>
        <w:lastRenderedPageBreak/>
        <w:t>1. Introduction</w:t>
      </w:r>
    </w:p>
    <w:p w14:paraId="0D3DD23D" w14:textId="77777777" w:rsidR="00292092" w:rsidRDefault="00000000">
      <w:pPr>
        <w:pStyle w:val="Titre2"/>
        <w:spacing w:before="220" w:after="110"/>
      </w:pPr>
      <w:r>
        <w:rPr>
          <w:b/>
          <w:bCs/>
          <w:sz w:val="24"/>
          <w:szCs w:val="24"/>
        </w:rPr>
        <w:t>1.1 Objectifs du projet</w:t>
      </w:r>
    </w:p>
    <w:p w14:paraId="17B713B4" w14:textId="77777777" w:rsidR="00292092" w:rsidRDefault="00000000">
      <w:pPr>
        <w:pStyle w:val="Titre3"/>
        <w:spacing w:before="160" w:after="80"/>
      </w:pPr>
      <w:r>
        <w:rPr>
          <w:b/>
          <w:bCs/>
          <w:color w:val="1F3864"/>
          <w:sz w:val="21"/>
          <w:szCs w:val="21"/>
        </w:rPr>
        <w:t>Objectif produit</w:t>
      </w:r>
    </w:p>
    <w:p w14:paraId="657B93F0" w14:textId="77777777" w:rsidR="00292092" w:rsidRDefault="00000000">
      <w:pPr>
        <w:spacing w:after="120"/>
      </w:pPr>
      <w:r>
        <w:t>Le projet P_FUN a pour but de concevoir PTL (Plot Those Lines), un logiciel permettant de stocker localement des séries temporelles, d'y importer de nouvelles valeurs depuis plusieurs formats de fichiers, et d'afficher plusieurs séries simultanément sur un même graphique avec une grande flexibilité d'analyse (zoom, sélection de période, changement d'échelle).</w:t>
      </w:r>
    </w:p>
    <w:p w14:paraId="50E75D31" w14:textId="77777777" w:rsidR="00292092" w:rsidRDefault="00000000">
      <w:pPr>
        <w:spacing w:after="120"/>
      </w:pPr>
      <w:r>
        <w:t>Le domaine d'application retenu est la finance : le logiciel permettra de visualiser et comparer l'évolution de cours d'actions, de matières premières et de taux de change, afin de repérer des tendances, des corrélations ou des divergences entre plusieurs actifs.</w:t>
      </w:r>
    </w:p>
    <w:p w14:paraId="56EEF611" w14:textId="77777777" w:rsidR="00292092" w:rsidRDefault="00000000">
      <w:pPr>
        <w:pStyle w:val="Titre3"/>
        <w:spacing w:before="160" w:after="80"/>
      </w:pPr>
      <w:r>
        <w:rPr>
          <w:b/>
          <w:bCs/>
          <w:color w:val="1F3864"/>
          <w:sz w:val="21"/>
          <w:szCs w:val="21"/>
        </w:rPr>
        <w:t>Objectifs pédagogiques</w:t>
      </w:r>
    </w:p>
    <w:p w14:paraId="2862DF24" w14:textId="77777777" w:rsidR="00292092" w:rsidRDefault="00000000">
      <w:pPr>
        <w:pStyle w:val="Paragraphedeliste"/>
        <w:numPr>
          <w:ilvl w:val="0"/>
          <w:numId w:val="2"/>
        </w:numPr>
        <w:spacing w:after="50"/>
      </w:pPr>
      <w:r>
        <w:t>Mettre en pratique LINQ pour toute manipulation de collections de données (aucune boucle for)</w:t>
      </w:r>
    </w:p>
    <w:p w14:paraId="7417304E" w14:textId="77777777" w:rsidR="00292092" w:rsidRDefault="00000000">
      <w:pPr>
        <w:pStyle w:val="Paragraphedeliste"/>
        <w:numPr>
          <w:ilvl w:val="0"/>
          <w:numId w:val="2"/>
        </w:numPr>
        <w:spacing w:after="50"/>
      </w:pPr>
      <w:r>
        <w:t>Concevoir et utiliser au moins deux extensions du langage C#</w:t>
      </w:r>
    </w:p>
    <w:p w14:paraId="38A5246F" w14:textId="77777777" w:rsidR="00292092" w:rsidRDefault="00000000">
      <w:pPr>
        <w:pStyle w:val="Paragraphedeliste"/>
        <w:numPr>
          <w:ilvl w:val="0"/>
          <w:numId w:val="2"/>
        </w:numPr>
        <w:spacing w:after="50"/>
      </w:pPr>
      <w:r>
        <w:t>Structurer un projet .NET de façon organisée (namespaces, classes, séparation des responsabilités)</w:t>
      </w:r>
    </w:p>
    <w:p w14:paraId="32739928" w14:textId="77777777" w:rsidR="00292092" w:rsidRDefault="00000000">
      <w:pPr>
        <w:pStyle w:val="Paragraphedeliste"/>
        <w:numPr>
          <w:ilvl w:val="0"/>
          <w:numId w:val="2"/>
        </w:numPr>
        <w:spacing w:after="50"/>
      </w:pPr>
      <w:r>
        <w:t>Écrire des tests unitaires significatifs pour sécuriser le comportement du logiciel</w:t>
      </w:r>
    </w:p>
    <w:p w14:paraId="17C75D6A" w14:textId="77777777" w:rsidR="00292092" w:rsidRDefault="00000000">
      <w:pPr>
        <w:pStyle w:val="Paragraphedeliste"/>
        <w:numPr>
          <w:ilvl w:val="0"/>
          <w:numId w:val="2"/>
        </w:numPr>
        <w:spacing w:after="50"/>
      </w:pPr>
      <w:r>
        <w:t>Pratiquer une démarche projet complète : analyse par User Stories, planification, versioning Git/GitHub, journal de travail</w:t>
      </w:r>
    </w:p>
    <w:p w14:paraId="565762BB" w14:textId="77777777" w:rsidR="00292092" w:rsidRDefault="00000000">
      <w:pPr>
        <w:pStyle w:val="Paragraphedeliste"/>
        <w:numPr>
          <w:ilvl w:val="0"/>
          <w:numId w:val="2"/>
        </w:numPr>
        <w:spacing w:after="50"/>
      </w:pPr>
      <w:r>
        <w:t>Développer l'autonomie et la pro-activité (questions au client, démonstrations régulières)</w:t>
      </w:r>
    </w:p>
    <w:p w14:paraId="717374C0" w14:textId="77777777" w:rsidR="00292092" w:rsidRDefault="00000000">
      <w:pPr>
        <w:pStyle w:val="Titre2"/>
        <w:spacing w:before="220" w:after="110"/>
      </w:pPr>
      <w:r>
        <w:rPr>
          <w:b/>
          <w:bCs/>
          <w:sz w:val="24"/>
          <w:szCs w:val="24"/>
        </w:rPr>
        <w:t>1.2 Description du domaine et des sources de données</w:t>
      </w:r>
    </w:p>
    <w:p w14:paraId="7552DB43" w14:textId="77777777" w:rsidR="00292092" w:rsidRDefault="00000000">
      <w:pPr>
        <w:spacing w:after="120"/>
      </w:pPr>
      <w:r>
        <w:t>Le domaine choisi est la finance. Cinq séries temporelles ont été retenues, toutes exprimées sur une base quotidienne, ce qui permet de les superposer sur un même axe temporel.</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5406"/>
      </w:tblGrid>
      <w:tr w:rsidR="00292092" w14:paraId="3C1450AC" w14:textId="77777777">
        <w:tblPrEx>
          <w:tblCellMar>
            <w:top w:w="0" w:type="dxa"/>
            <w:bottom w:w="0" w:type="dxa"/>
          </w:tblCellMar>
        </w:tblPrEx>
        <w:tc>
          <w:tcPr>
            <w:tcW w:w="2600" w:type="dxa"/>
            <w:shd w:val="clear" w:color="auto" w:fill="1F3864"/>
            <w:tcMar>
              <w:top w:w="70" w:type="dxa"/>
              <w:left w:w="100" w:type="dxa"/>
              <w:bottom w:w="70" w:type="dxa"/>
              <w:right w:w="100" w:type="dxa"/>
            </w:tcMar>
            <w:vAlign w:val="center"/>
          </w:tcPr>
          <w:p w14:paraId="06B2A0BD" w14:textId="77777777" w:rsidR="00292092" w:rsidRDefault="00000000">
            <w:r>
              <w:rPr>
                <w:b/>
                <w:bCs/>
                <w:color w:val="FFFFFF"/>
                <w:sz w:val="18"/>
                <w:szCs w:val="18"/>
              </w:rPr>
              <w:t>Série</w:t>
            </w:r>
          </w:p>
        </w:tc>
        <w:tc>
          <w:tcPr>
            <w:tcW w:w="2200" w:type="dxa"/>
            <w:shd w:val="clear" w:color="auto" w:fill="1F3864"/>
            <w:tcMar>
              <w:top w:w="70" w:type="dxa"/>
              <w:left w:w="100" w:type="dxa"/>
              <w:bottom w:w="70" w:type="dxa"/>
              <w:right w:w="100" w:type="dxa"/>
            </w:tcMar>
            <w:vAlign w:val="center"/>
          </w:tcPr>
          <w:p w14:paraId="0DCD2ED5" w14:textId="77777777" w:rsidR="00292092" w:rsidRDefault="00000000">
            <w:r>
              <w:rPr>
                <w:b/>
                <w:bCs/>
                <w:color w:val="FFFFFF"/>
                <w:sz w:val="18"/>
                <w:szCs w:val="18"/>
              </w:rPr>
              <w:t>Unité</w:t>
            </w:r>
          </w:p>
        </w:tc>
        <w:tc>
          <w:tcPr>
            <w:tcW w:w="5406" w:type="dxa"/>
            <w:shd w:val="clear" w:color="auto" w:fill="1F3864"/>
            <w:tcMar>
              <w:top w:w="70" w:type="dxa"/>
              <w:left w:w="100" w:type="dxa"/>
              <w:bottom w:w="70" w:type="dxa"/>
              <w:right w:w="100" w:type="dxa"/>
            </w:tcMar>
            <w:vAlign w:val="center"/>
          </w:tcPr>
          <w:p w14:paraId="138A4F63" w14:textId="77777777" w:rsidR="00292092" w:rsidRDefault="00000000">
            <w:r>
              <w:rPr>
                <w:b/>
                <w:bCs/>
                <w:color w:val="FFFFFF"/>
                <w:sz w:val="18"/>
                <w:szCs w:val="18"/>
              </w:rPr>
              <w:t>Description</w:t>
            </w:r>
          </w:p>
        </w:tc>
      </w:tr>
      <w:tr w:rsidR="00292092" w14:paraId="2D712374" w14:textId="77777777">
        <w:tblPrEx>
          <w:tblCellMar>
            <w:top w:w="0" w:type="dxa"/>
            <w:bottom w:w="0" w:type="dxa"/>
          </w:tblCellMar>
        </w:tblPrEx>
        <w:tc>
          <w:tcPr>
            <w:tcW w:w="2600" w:type="dxa"/>
            <w:tcMar>
              <w:top w:w="70" w:type="dxa"/>
              <w:left w:w="100" w:type="dxa"/>
              <w:bottom w:w="70" w:type="dxa"/>
              <w:right w:w="100" w:type="dxa"/>
            </w:tcMar>
            <w:vAlign w:val="center"/>
          </w:tcPr>
          <w:p w14:paraId="7267A9CD" w14:textId="77777777" w:rsidR="00292092" w:rsidRDefault="00000000">
            <w:r>
              <w:rPr>
                <w:color w:val="000000"/>
                <w:sz w:val="18"/>
                <w:szCs w:val="18"/>
              </w:rPr>
              <w:t>AAPL — Apple Inc.</w:t>
            </w:r>
          </w:p>
        </w:tc>
        <w:tc>
          <w:tcPr>
            <w:tcW w:w="2200" w:type="dxa"/>
            <w:tcMar>
              <w:top w:w="70" w:type="dxa"/>
              <w:left w:w="100" w:type="dxa"/>
              <w:bottom w:w="70" w:type="dxa"/>
              <w:right w:w="100" w:type="dxa"/>
            </w:tcMar>
            <w:vAlign w:val="center"/>
          </w:tcPr>
          <w:p w14:paraId="0DEA1D14" w14:textId="77777777" w:rsidR="00292092" w:rsidRDefault="00000000">
            <w:r>
              <w:rPr>
                <w:color w:val="000000"/>
                <w:sz w:val="18"/>
                <w:szCs w:val="18"/>
              </w:rPr>
              <w:t>USD</w:t>
            </w:r>
          </w:p>
        </w:tc>
        <w:tc>
          <w:tcPr>
            <w:tcW w:w="5406" w:type="dxa"/>
            <w:tcMar>
              <w:top w:w="70" w:type="dxa"/>
              <w:left w:w="100" w:type="dxa"/>
              <w:bottom w:w="70" w:type="dxa"/>
              <w:right w:w="100" w:type="dxa"/>
            </w:tcMar>
            <w:vAlign w:val="center"/>
          </w:tcPr>
          <w:p w14:paraId="696A48A0" w14:textId="77777777" w:rsidR="00292092" w:rsidRDefault="00000000">
            <w:r>
              <w:rPr>
                <w:color w:val="000000"/>
                <w:sz w:val="18"/>
                <w:szCs w:val="18"/>
              </w:rPr>
              <w:t>Cours de clôture quotidien de l'action Apple</w:t>
            </w:r>
          </w:p>
        </w:tc>
      </w:tr>
      <w:tr w:rsidR="00292092" w14:paraId="766DBFCF" w14:textId="77777777">
        <w:tblPrEx>
          <w:tblCellMar>
            <w:top w:w="0" w:type="dxa"/>
            <w:bottom w:w="0" w:type="dxa"/>
          </w:tblCellMar>
        </w:tblPrEx>
        <w:tc>
          <w:tcPr>
            <w:tcW w:w="2600" w:type="dxa"/>
            <w:tcMar>
              <w:top w:w="70" w:type="dxa"/>
              <w:left w:w="100" w:type="dxa"/>
              <w:bottom w:w="70" w:type="dxa"/>
              <w:right w:w="100" w:type="dxa"/>
            </w:tcMar>
            <w:vAlign w:val="center"/>
          </w:tcPr>
          <w:p w14:paraId="6869E03F" w14:textId="77777777" w:rsidR="00292092" w:rsidRDefault="00000000">
            <w:r>
              <w:rPr>
                <w:color w:val="000000"/>
                <w:sz w:val="18"/>
                <w:szCs w:val="18"/>
              </w:rPr>
              <w:t>MSFT — Microsoft Corp.</w:t>
            </w:r>
          </w:p>
        </w:tc>
        <w:tc>
          <w:tcPr>
            <w:tcW w:w="2200" w:type="dxa"/>
            <w:tcMar>
              <w:top w:w="70" w:type="dxa"/>
              <w:left w:w="100" w:type="dxa"/>
              <w:bottom w:w="70" w:type="dxa"/>
              <w:right w:w="100" w:type="dxa"/>
            </w:tcMar>
            <w:vAlign w:val="center"/>
          </w:tcPr>
          <w:p w14:paraId="40CCB930" w14:textId="77777777" w:rsidR="00292092" w:rsidRDefault="00000000">
            <w:r>
              <w:rPr>
                <w:color w:val="000000"/>
                <w:sz w:val="18"/>
                <w:szCs w:val="18"/>
              </w:rPr>
              <w:t>USD</w:t>
            </w:r>
          </w:p>
        </w:tc>
        <w:tc>
          <w:tcPr>
            <w:tcW w:w="5406" w:type="dxa"/>
            <w:tcMar>
              <w:top w:w="70" w:type="dxa"/>
              <w:left w:w="100" w:type="dxa"/>
              <w:bottom w:w="70" w:type="dxa"/>
              <w:right w:w="100" w:type="dxa"/>
            </w:tcMar>
            <w:vAlign w:val="center"/>
          </w:tcPr>
          <w:p w14:paraId="08E93A49" w14:textId="77777777" w:rsidR="00292092" w:rsidRDefault="00000000">
            <w:r>
              <w:rPr>
                <w:color w:val="000000"/>
                <w:sz w:val="18"/>
                <w:szCs w:val="18"/>
              </w:rPr>
              <w:t>Cours de clôture quotidien de l'action Microsoft</w:t>
            </w:r>
          </w:p>
        </w:tc>
      </w:tr>
      <w:tr w:rsidR="00292092" w14:paraId="6E16FBFB" w14:textId="77777777">
        <w:tblPrEx>
          <w:tblCellMar>
            <w:top w:w="0" w:type="dxa"/>
            <w:bottom w:w="0" w:type="dxa"/>
          </w:tblCellMar>
        </w:tblPrEx>
        <w:tc>
          <w:tcPr>
            <w:tcW w:w="2600" w:type="dxa"/>
            <w:tcMar>
              <w:top w:w="70" w:type="dxa"/>
              <w:left w:w="100" w:type="dxa"/>
              <w:bottom w:w="70" w:type="dxa"/>
              <w:right w:w="100" w:type="dxa"/>
            </w:tcMar>
            <w:vAlign w:val="center"/>
          </w:tcPr>
          <w:p w14:paraId="6B64585D" w14:textId="77777777" w:rsidR="00292092" w:rsidRDefault="00000000">
            <w:r>
              <w:rPr>
                <w:color w:val="000000"/>
                <w:sz w:val="18"/>
                <w:szCs w:val="18"/>
              </w:rPr>
              <w:t>Or (XAU/USD)</w:t>
            </w:r>
          </w:p>
        </w:tc>
        <w:tc>
          <w:tcPr>
            <w:tcW w:w="2200" w:type="dxa"/>
            <w:tcMar>
              <w:top w:w="70" w:type="dxa"/>
              <w:left w:w="100" w:type="dxa"/>
              <w:bottom w:w="70" w:type="dxa"/>
              <w:right w:w="100" w:type="dxa"/>
            </w:tcMar>
            <w:vAlign w:val="center"/>
          </w:tcPr>
          <w:p w14:paraId="039EE4D8" w14:textId="77777777" w:rsidR="00292092" w:rsidRDefault="00000000">
            <w:r>
              <w:rPr>
                <w:color w:val="000000"/>
                <w:sz w:val="18"/>
                <w:szCs w:val="18"/>
              </w:rPr>
              <w:t>USD/once</w:t>
            </w:r>
          </w:p>
        </w:tc>
        <w:tc>
          <w:tcPr>
            <w:tcW w:w="5406" w:type="dxa"/>
            <w:tcMar>
              <w:top w:w="70" w:type="dxa"/>
              <w:left w:w="100" w:type="dxa"/>
              <w:bottom w:w="70" w:type="dxa"/>
              <w:right w:w="100" w:type="dxa"/>
            </w:tcMar>
            <w:vAlign w:val="center"/>
          </w:tcPr>
          <w:p w14:paraId="01BDEC18" w14:textId="77777777" w:rsidR="00292092" w:rsidRDefault="00000000">
            <w:r>
              <w:rPr>
                <w:color w:val="000000"/>
                <w:sz w:val="18"/>
                <w:szCs w:val="18"/>
              </w:rPr>
              <w:t>Cours quotidien de l'once d'or</w:t>
            </w:r>
          </w:p>
        </w:tc>
      </w:tr>
      <w:tr w:rsidR="00292092" w14:paraId="1AB60FD0" w14:textId="77777777">
        <w:tblPrEx>
          <w:tblCellMar>
            <w:top w:w="0" w:type="dxa"/>
            <w:bottom w:w="0" w:type="dxa"/>
          </w:tblCellMar>
        </w:tblPrEx>
        <w:tc>
          <w:tcPr>
            <w:tcW w:w="2600" w:type="dxa"/>
            <w:tcMar>
              <w:top w:w="70" w:type="dxa"/>
              <w:left w:w="100" w:type="dxa"/>
              <w:bottom w:w="70" w:type="dxa"/>
              <w:right w:w="100" w:type="dxa"/>
            </w:tcMar>
            <w:vAlign w:val="center"/>
          </w:tcPr>
          <w:p w14:paraId="02CDACEC" w14:textId="77777777" w:rsidR="00292092" w:rsidRDefault="00000000">
            <w:r>
              <w:rPr>
                <w:color w:val="000000"/>
                <w:sz w:val="18"/>
                <w:szCs w:val="18"/>
              </w:rPr>
              <w:t>Pétrole brut WTI</w:t>
            </w:r>
          </w:p>
        </w:tc>
        <w:tc>
          <w:tcPr>
            <w:tcW w:w="2200" w:type="dxa"/>
            <w:tcMar>
              <w:top w:w="70" w:type="dxa"/>
              <w:left w:w="100" w:type="dxa"/>
              <w:bottom w:w="70" w:type="dxa"/>
              <w:right w:w="100" w:type="dxa"/>
            </w:tcMar>
            <w:vAlign w:val="center"/>
          </w:tcPr>
          <w:p w14:paraId="276F90F5" w14:textId="77777777" w:rsidR="00292092" w:rsidRDefault="00000000">
            <w:r>
              <w:rPr>
                <w:color w:val="000000"/>
                <w:sz w:val="18"/>
                <w:szCs w:val="18"/>
              </w:rPr>
              <w:t>USD/baril</w:t>
            </w:r>
          </w:p>
        </w:tc>
        <w:tc>
          <w:tcPr>
            <w:tcW w:w="5406" w:type="dxa"/>
            <w:tcMar>
              <w:top w:w="70" w:type="dxa"/>
              <w:left w:w="100" w:type="dxa"/>
              <w:bottom w:w="70" w:type="dxa"/>
              <w:right w:w="100" w:type="dxa"/>
            </w:tcMar>
            <w:vAlign w:val="center"/>
          </w:tcPr>
          <w:p w14:paraId="7E18DBD2" w14:textId="77777777" w:rsidR="00292092" w:rsidRDefault="00000000">
            <w:r>
              <w:rPr>
                <w:color w:val="000000"/>
                <w:sz w:val="18"/>
                <w:szCs w:val="18"/>
              </w:rPr>
              <w:t>Cours quotidien du baril de pétrole WTI</w:t>
            </w:r>
          </w:p>
        </w:tc>
      </w:tr>
      <w:tr w:rsidR="00292092" w14:paraId="110A20EF" w14:textId="77777777">
        <w:tblPrEx>
          <w:tblCellMar>
            <w:top w:w="0" w:type="dxa"/>
            <w:bottom w:w="0" w:type="dxa"/>
          </w:tblCellMar>
        </w:tblPrEx>
        <w:tc>
          <w:tcPr>
            <w:tcW w:w="2600" w:type="dxa"/>
            <w:tcMar>
              <w:top w:w="70" w:type="dxa"/>
              <w:left w:w="100" w:type="dxa"/>
              <w:bottom w:w="70" w:type="dxa"/>
              <w:right w:w="100" w:type="dxa"/>
            </w:tcMar>
            <w:vAlign w:val="center"/>
          </w:tcPr>
          <w:p w14:paraId="5589503D" w14:textId="77777777" w:rsidR="00292092" w:rsidRDefault="00000000">
            <w:r>
              <w:rPr>
                <w:color w:val="000000"/>
                <w:sz w:val="18"/>
                <w:szCs w:val="18"/>
              </w:rPr>
              <w:t>EUR/USD</w:t>
            </w:r>
          </w:p>
        </w:tc>
        <w:tc>
          <w:tcPr>
            <w:tcW w:w="2200" w:type="dxa"/>
            <w:tcMar>
              <w:top w:w="70" w:type="dxa"/>
              <w:left w:w="100" w:type="dxa"/>
              <w:bottom w:w="70" w:type="dxa"/>
              <w:right w:w="100" w:type="dxa"/>
            </w:tcMar>
            <w:vAlign w:val="center"/>
          </w:tcPr>
          <w:p w14:paraId="0FD81E69" w14:textId="77777777" w:rsidR="00292092" w:rsidRDefault="00000000">
            <w:r>
              <w:rPr>
                <w:color w:val="000000"/>
                <w:sz w:val="18"/>
                <w:szCs w:val="18"/>
              </w:rPr>
              <w:t>taux</w:t>
            </w:r>
          </w:p>
        </w:tc>
        <w:tc>
          <w:tcPr>
            <w:tcW w:w="5406" w:type="dxa"/>
            <w:tcMar>
              <w:top w:w="70" w:type="dxa"/>
              <w:left w:w="100" w:type="dxa"/>
              <w:bottom w:w="70" w:type="dxa"/>
              <w:right w:w="100" w:type="dxa"/>
            </w:tcMar>
            <w:vAlign w:val="center"/>
          </w:tcPr>
          <w:p w14:paraId="71136B59" w14:textId="77777777" w:rsidR="00292092" w:rsidRDefault="00000000">
            <w:r>
              <w:rPr>
                <w:color w:val="000000"/>
                <w:sz w:val="18"/>
                <w:szCs w:val="18"/>
              </w:rPr>
              <w:t>Taux de change quotidien euro / dollar américain</w:t>
            </w:r>
          </w:p>
        </w:tc>
      </w:tr>
    </w:tbl>
    <w:p w14:paraId="4C9E1E01" w14:textId="77777777" w:rsidR="00292092" w:rsidRDefault="00292092">
      <w:pPr>
        <w:spacing w:after="120"/>
      </w:pPr>
    </w:p>
    <w:p w14:paraId="68F1FA81" w14:textId="77777777" w:rsidR="00292092" w:rsidRDefault="00000000">
      <w:pPr>
        <w:spacing w:after="120"/>
      </w:pPr>
      <w:r>
        <w:t>Chaque série comportera au minimum 500 valeurs, ce qui correspond à environ deux ans de cours de bourse (les marchés ferment le week-end).</w:t>
      </w:r>
    </w:p>
    <w:p w14:paraId="26242784" w14:textId="77777777" w:rsidR="00292092" w:rsidRDefault="00000000">
      <w:pPr>
        <w:pStyle w:val="Titre3"/>
        <w:spacing w:before="160" w:after="80"/>
      </w:pPr>
      <w:r>
        <w:rPr>
          <w:b/>
          <w:bCs/>
          <w:color w:val="1F3864"/>
          <w:sz w:val="21"/>
          <w:szCs w:val="21"/>
        </w:rPr>
        <w:t>Sources de données envisagées</w:t>
      </w:r>
    </w:p>
    <w:p w14:paraId="540CC812" w14:textId="77777777" w:rsidR="00292092" w:rsidRDefault="00000000">
      <w:pPr>
        <w:pStyle w:val="Paragraphedeliste"/>
        <w:numPr>
          <w:ilvl w:val="0"/>
          <w:numId w:val="2"/>
        </w:numPr>
        <w:spacing w:after="50"/>
      </w:pPr>
      <w:r>
        <w:t>stooq.com — export CSV gratuit et sans clé d'API, pour l'historique des actions, matières premières et devises (données de base, ≥500 valeurs par série)</w:t>
      </w:r>
    </w:p>
    <w:p w14:paraId="09644192" w14:textId="77777777" w:rsidR="00292092" w:rsidRDefault="00000000">
      <w:pPr>
        <w:pStyle w:val="Paragraphedeliste"/>
        <w:numPr>
          <w:ilvl w:val="0"/>
          <w:numId w:val="2"/>
        </w:numPr>
        <w:spacing w:after="50"/>
      </w:pPr>
      <w:r>
        <w:t>Yahoo Finance — export CSV alternatif pour les actions AAPL et MSFT</w:t>
      </w:r>
    </w:p>
    <w:p w14:paraId="66342826" w14:textId="77777777" w:rsidR="00292092" w:rsidRDefault="00000000">
      <w:pPr>
        <w:pStyle w:val="Paragraphedeliste"/>
        <w:numPr>
          <w:ilvl w:val="0"/>
          <w:numId w:val="2"/>
        </w:numPr>
        <w:spacing w:after="50"/>
      </w:pPr>
      <w:r>
        <w:t>Une API REST publique (ex. exchangerate.host ou Alpha Vantage, clé gratuite) — pour illustrer la User Story "import JSON reçu d'une API", en priorité sur la série EUR/USD</w:t>
      </w:r>
    </w:p>
    <w:p w14:paraId="79F516CA" w14:textId="77777777" w:rsidR="00292092" w:rsidRDefault="00000000">
      <w:pPr>
        <w:pStyle w:val="Paragraphedeliste"/>
        <w:numPr>
          <w:ilvl w:val="0"/>
          <w:numId w:val="2"/>
        </w:numPr>
        <w:spacing w:after="50"/>
      </w:pPr>
      <w:r>
        <w:t>En cas d'indisponibilité ou de limitation d'une source, génération de données fictives réalistes par script (basées sur une marche aléatoire calibrée sur les vraies moyennes/volatilités observées), avec mention explicite dans le rapport final</w:t>
      </w:r>
    </w:p>
    <w:p w14:paraId="4A782D2E" w14:textId="77777777" w:rsidR="00292092" w:rsidRDefault="00000000">
      <w:pPr>
        <w:pStyle w:val="Titre3"/>
        <w:spacing w:before="160" w:after="80"/>
      </w:pPr>
      <w:r>
        <w:rPr>
          <w:b/>
          <w:bCs/>
          <w:color w:val="1F3864"/>
          <w:sz w:val="21"/>
          <w:szCs w:val="21"/>
        </w:rPr>
        <w:t>Cohérence entre les séries</w:t>
      </w:r>
    </w:p>
    <w:p w14:paraId="7F6A29D4" w14:textId="77777777" w:rsidR="00292092" w:rsidRDefault="00000000">
      <w:pPr>
        <w:spacing w:after="120"/>
      </w:pPr>
      <w:r>
        <w:t>Le cahier des charges demande de justifier l'intérêt d'afficher certaines séries simultanément. Le tableau ci-dessous présente les rapprochements pertinents entre les séries retenues :</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7006"/>
      </w:tblGrid>
      <w:tr w:rsidR="00292092" w14:paraId="5F9F0A92" w14:textId="77777777">
        <w:tblPrEx>
          <w:tblCellMar>
            <w:top w:w="0" w:type="dxa"/>
            <w:bottom w:w="0" w:type="dxa"/>
          </w:tblCellMar>
        </w:tblPrEx>
        <w:tc>
          <w:tcPr>
            <w:tcW w:w="3200" w:type="dxa"/>
            <w:shd w:val="clear" w:color="auto" w:fill="DCE6F1"/>
            <w:tcMar>
              <w:top w:w="70" w:type="dxa"/>
              <w:left w:w="100" w:type="dxa"/>
              <w:bottom w:w="70" w:type="dxa"/>
              <w:right w:w="100" w:type="dxa"/>
            </w:tcMar>
            <w:vAlign w:val="center"/>
          </w:tcPr>
          <w:p w14:paraId="26D3AE57" w14:textId="77777777" w:rsidR="00292092" w:rsidRDefault="00000000">
            <w:r>
              <w:rPr>
                <w:b/>
                <w:bCs/>
                <w:color w:val="000000"/>
                <w:sz w:val="18"/>
                <w:szCs w:val="18"/>
              </w:rPr>
              <w:t>Séries comparées</w:t>
            </w:r>
          </w:p>
        </w:tc>
        <w:tc>
          <w:tcPr>
            <w:tcW w:w="7006" w:type="dxa"/>
            <w:shd w:val="clear" w:color="auto" w:fill="DCE6F1"/>
            <w:tcMar>
              <w:top w:w="70" w:type="dxa"/>
              <w:left w:w="100" w:type="dxa"/>
              <w:bottom w:w="70" w:type="dxa"/>
              <w:right w:w="100" w:type="dxa"/>
            </w:tcMar>
            <w:vAlign w:val="center"/>
          </w:tcPr>
          <w:p w14:paraId="21D4110E" w14:textId="77777777" w:rsidR="00292092" w:rsidRDefault="00000000">
            <w:r>
              <w:rPr>
                <w:b/>
                <w:bCs/>
                <w:color w:val="000000"/>
                <w:sz w:val="18"/>
                <w:szCs w:val="18"/>
              </w:rPr>
              <w:t>Pourquoi les afficher ensemble</w:t>
            </w:r>
          </w:p>
        </w:tc>
      </w:tr>
      <w:tr w:rsidR="00292092" w14:paraId="459BB971" w14:textId="77777777">
        <w:tblPrEx>
          <w:tblCellMar>
            <w:top w:w="0" w:type="dxa"/>
            <w:bottom w:w="0" w:type="dxa"/>
          </w:tblCellMar>
        </w:tblPrEx>
        <w:tc>
          <w:tcPr>
            <w:tcW w:w="3200" w:type="dxa"/>
            <w:tcMar>
              <w:top w:w="70" w:type="dxa"/>
              <w:left w:w="100" w:type="dxa"/>
              <w:bottom w:w="70" w:type="dxa"/>
              <w:right w:w="100" w:type="dxa"/>
            </w:tcMar>
            <w:vAlign w:val="center"/>
          </w:tcPr>
          <w:p w14:paraId="73655DA0" w14:textId="77777777" w:rsidR="00292092" w:rsidRDefault="00000000">
            <w:r>
              <w:rPr>
                <w:color w:val="000000"/>
                <w:sz w:val="18"/>
                <w:szCs w:val="18"/>
              </w:rPr>
              <w:t>AAPL &amp; MSFT</w:t>
            </w:r>
          </w:p>
        </w:tc>
        <w:tc>
          <w:tcPr>
            <w:tcW w:w="7006" w:type="dxa"/>
            <w:tcMar>
              <w:top w:w="70" w:type="dxa"/>
              <w:left w:w="100" w:type="dxa"/>
              <w:bottom w:w="70" w:type="dxa"/>
              <w:right w:w="100" w:type="dxa"/>
            </w:tcMar>
            <w:vAlign w:val="center"/>
          </w:tcPr>
          <w:p w14:paraId="12C5B41F" w14:textId="77777777" w:rsidR="00292092" w:rsidRDefault="00000000">
            <w:r>
              <w:rPr>
                <w:color w:val="000000"/>
                <w:sz w:val="18"/>
                <w:szCs w:val="18"/>
              </w:rPr>
              <w:t>Deux valeurs technologiques majeures du Nasdaq, soumises aux mêmes cycles économiques : comparer leurs performances relatives permet de repérer si l'une surperforme l'autre.</w:t>
            </w:r>
          </w:p>
        </w:tc>
      </w:tr>
      <w:tr w:rsidR="00292092" w14:paraId="3854CA5F" w14:textId="77777777">
        <w:tblPrEx>
          <w:tblCellMar>
            <w:top w:w="0" w:type="dxa"/>
            <w:bottom w:w="0" w:type="dxa"/>
          </w:tblCellMar>
        </w:tblPrEx>
        <w:tc>
          <w:tcPr>
            <w:tcW w:w="3200" w:type="dxa"/>
            <w:tcMar>
              <w:top w:w="70" w:type="dxa"/>
              <w:left w:w="100" w:type="dxa"/>
              <w:bottom w:w="70" w:type="dxa"/>
              <w:right w:w="100" w:type="dxa"/>
            </w:tcMar>
            <w:vAlign w:val="center"/>
          </w:tcPr>
          <w:p w14:paraId="0225F607" w14:textId="77777777" w:rsidR="00292092" w:rsidRDefault="00000000">
            <w:r>
              <w:rPr>
                <w:color w:val="000000"/>
                <w:sz w:val="18"/>
                <w:szCs w:val="18"/>
              </w:rPr>
              <w:t>Or &amp; EUR/USD</w:t>
            </w:r>
          </w:p>
        </w:tc>
        <w:tc>
          <w:tcPr>
            <w:tcW w:w="7006" w:type="dxa"/>
            <w:tcMar>
              <w:top w:w="70" w:type="dxa"/>
              <w:left w:w="100" w:type="dxa"/>
              <w:bottom w:w="70" w:type="dxa"/>
              <w:right w:w="100" w:type="dxa"/>
            </w:tcMar>
            <w:vAlign w:val="center"/>
          </w:tcPr>
          <w:p w14:paraId="055C1315" w14:textId="77777777" w:rsidR="00292092" w:rsidRDefault="00000000">
            <w:r>
              <w:rPr>
                <w:color w:val="000000"/>
                <w:sz w:val="18"/>
                <w:szCs w:val="18"/>
              </w:rPr>
              <w:t>L'or est perçu comme une valeur refuge liée à la force du dollar : une hausse de l'EUR/USD (dollar plus faible) coïncide souvent avec une hausse du prix de l'or. Superposer les deux courbes permet d'observer cette relation.</w:t>
            </w:r>
          </w:p>
        </w:tc>
      </w:tr>
      <w:tr w:rsidR="00292092" w14:paraId="34A91B27" w14:textId="77777777">
        <w:tblPrEx>
          <w:tblCellMar>
            <w:top w:w="0" w:type="dxa"/>
            <w:bottom w:w="0" w:type="dxa"/>
          </w:tblCellMar>
        </w:tblPrEx>
        <w:tc>
          <w:tcPr>
            <w:tcW w:w="3200" w:type="dxa"/>
            <w:tcMar>
              <w:top w:w="70" w:type="dxa"/>
              <w:left w:w="100" w:type="dxa"/>
              <w:bottom w:w="70" w:type="dxa"/>
              <w:right w:w="100" w:type="dxa"/>
            </w:tcMar>
            <w:vAlign w:val="center"/>
          </w:tcPr>
          <w:p w14:paraId="27E482C2" w14:textId="77777777" w:rsidR="00292092" w:rsidRDefault="00000000">
            <w:r>
              <w:rPr>
                <w:color w:val="000000"/>
                <w:sz w:val="18"/>
                <w:szCs w:val="18"/>
              </w:rPr>
              <w:lastRenderedPageBreak/>
              <w:t>Pétrole WTI &amp; EUR/USD</w:t>
            </w:r>
          </w:p>
        </w:tc>
        <w:tc>
          <w:tcPr>
            <w:tcW w:w="7006" w:type="dxa"/>
            <w:tcMar>
              <w:top w:w="70" w:type="dxa"/>
              <w:left w:w="100" w:type="dxa"/>
              <w:bottom w:w="70" w:type="dxa"/>
              <w:right w:w="100" w:type="dxa"/>
            </w:tcMar>
            <w:vAlign w:val="center"/>
          </w:tcPr>
          <w:p w14:paraId="04791862" w14:textId="77777777" w:rsidR="00292092" w:rsidRDefault="00000000">
            <w:r>
              <w:rPr>
                <w:color w:val="000000"/>
                <w:sz w:val="18"/>
                <w:szCs w:val="18"/>
              </w:rPr>
              <w:t>Le pétrole est coté en dollars : un dollar fort tend à faire baisser son prix pour les acheteurs hors zone dollar. La comparaison permet d'observer une éventuelle corrélation inverse.</w:t>
            </w:r>
          </w:p>
        </w:tc>
      </w:tr>
      <w:tr w:rsidR="00292092" w14:paraId="3F6AB332" w14:textId="77777777">
        <w:tblPrEx>
          <w:tblCellMar>
            <w:top w:w="0" w:type="dxa"/>
            <w:bottom w:w="0" w:type="dxa"/>
          </w:tblCellMar>
        </w:tblPrEx>
        <w:tc>
          <w:tcPr>
            <w:tcW w:w="3200" w:type="dxa"/>
            <w:tcMar>
              <w:top w:w="70" w:type="dxa"/>
              <w:left w:w="100" w:type="dxa"/>
              <w:bottom w:w="70" w:type="dxa"/>
              <w:right w:w="100" w:type="dxa"/>
            </w:tcMar>
            <w:vAlign w:val="center"/>
          </w:tcPr>
          <w:p w14:paraId="56837FCF" w14:textId="77777777" w:rsidR="00292092" w:rsidRDefault="00000000">
            <w:r>
              <w:rPr>
                <w:color w:val="000000"/>
                <w:sz w:val="18"/>
                <w:szCs w:val="18"/>
              </w:rPr>
              <w:t>Or &amp; Pétrole WTI</w:t>
            </w:r>
          </w:p>
        </w:tc>
        <w:tc>
          <w:tcPr>
            <w:tcW w:w="7006" w:type="dxa"/>
            <w:tcMar>
              <w:top w:w="70" w:type="dxa"/>
              <w:left w:w="100" w:type="dxa"/>
              <w:bottom w:w="70" w:type="dxa"/>
              <w:right w:w="100" w:type="dxa"/>
            </w:tcMar>
            <w:vAlign w:val="center"/>
          </w:tcPr>
          <w:p w14:paraId="0DCAFD79" w14:textId="77777777" w:rsidR="00292092" w:rsidRDefault="00000000">
            <w:r>
              <w:rPr>
                <w:color w:val="000000"/>
                <w:sz w:val="18"/>
                <w:szCs w:val="18"/>
              </w:rPr>
              <w:t>Deux matières premières souvent influencées par les anticipations d'inflation : les comparer aide à distinguer un mouvement propre à une matière première d'un mouvement macro-économique plus large.</w:t>
            </w:r>
          </w:p>
        </w:tc>
      </w:tr>
      <w:tr w:rsidR="00292092" w14:paraId="32CFAD6E" w14:textId="77777777">
        <w:tblPrEx>
          <w:tblCellMar>
            <w:top w:w="0" w:type="dxa"/>
            <w:bottom w:w="0" w:type="dxa"/>
          </w:tblCellMar>
        </w:tblPrEx>
        <w:tc>
          <w:tcPr>
            <w:tcW w:w="3200" w:type="dxa"/>
            <w:tcMar>
              <w:top w:w="70" w:type="dxa"/>
              <w:left w:w="100" w:type="dxa"/>
              <w:bottom w:w="70" w:type="dxa"/>
              <w:right w:w="100" w:type="dxa"/>
            </w:tcMar>
            <w:vAlign w:val="center"/>
          </w:tcPr>
          <w:p w14:paraId="7B694D64" w14:textId="77777777" w:rsidR="00292092" w:rsidRDefault="00000000">
            <w:r>
              <w:rPr>
                <w:color w:val="000000"/>
                <w:sz w:val="18"/>
                <w:szCs w:val="18"/>
              </w:rPr>
              <w:t>AAPL/MSFT &amp; Pétrole/Or</w:t>
            </w:r>
          </w:p>
        </w:tc>
        <w:tc>
          <w:tcPr>
            <w:tcW w:w="7006" w:type="dxa"/>
            <w:tcMar>
              <w:top w:w="70" w:type="dxa"/>
              <w:left w:w="100" w:type="dxa"/>
              <w:bottom w:w="70" w:type="dxa"/>
              <w:right w:w="100" w:type="dxa"/>
            </w:tcMar>
            <w:vAlign w:val="center"/>
          </w:tcPr>
          <w:p w14:paraId="11CAF96E" w14:textId="77777777" w:rsidR="00292092" w:rsidRDefault="00000000">
            <w:r>
              <w:rPr>
                <w:color w:val="000000"/>
                <w:sz w:val="18"/>
                <w:szCs w:val="18"/>
              </w:rPr>
              <w:t>Permet de vérifier si le marché des actions technologiques réagit différemment des matières premières lors d'un choc économique (ex. hausse soudaine du pétrole).</w:t>
            </w:r>
          </w:p>
        </w:tc>
      </w:tr>
    </w:tbl>
    <w:p w14:paraId="643D1ED7" w14:textId="77777777" w:rsidR="00292092" w:rsidRDefault="00000000">
      <w:r>
        <w:br w:type="page"/>
      </w:r>
    </w:p>
    <w:p w14:paraId="17D4FBB2" w14:textId="77777777" w:rsidR="00292092" w:rsidRDefault="00000000">
      <w:pPr>
        <w:pStyle w:val="Titre1"/>
        <w:spacing w:before="320" w:after="150"/>
      </w:pPr>
      <w:r>
        <w:rPr>
          <w:b/>
          <w:bCs/>
          <w:color w:val="1F3864"/>
          <w:sz w:val="28"/>
          <w:szCs w:val="28"/>
        </w:rPr>
        <w:lastRenderedPageBreak/>
        <w:t>2. Analyse fonctionnelle</w:t>
      </w:r>
    </w:p>
    <w:p w14:paraId="60C88A1E" w14:textId="77777777" w:rsidR="00292092" w:rsidRDefault="00000000">
      <w:pPr>
        <w:pStyle w:val="Titre2"/>
        <w:spacing w:before="220" w:after="110"/>
      </w:pPr>
      <w:r>
        <w:rPr>
          <w:b/>
          <w:bCs/>
          <w:sz w:val="24"/>
          <w:szCs w:val="24"/>
        </w:rPr>
        <w:t>2.1 User Stories et tests d'acceptance</w:t>
      </w:r>
    </w:p>
    <w:p w14:paraId="0867926B" w14:textId="77777777" w:rsidR="00292092" w:rsidRDefault="00000000">
      <w:pPr>
        <w:spacing w:after="120"/>
      </w:pPr>
      <w:r>
        <w:t>Les fonctionnalités demandées par le client (chapitre 7.6 du cahier des charges) ont été déclinées en six User Stories couvrant le stockage local, les trois modes d'import et l'affichage graphique flexible.</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287"/>
        <w:gridCol w:w="5019"/>
      </w:tblGrid>
      <w:tr w:rsidR="00292092" w14:paraId="3BDB669A" w14:textId="77777777">
        <w:tblPrEx>
          <w:tblCellMar>
            <w:top w:w="0" w:type="dxa"/>
            <w:bottom w:w="0" w:type="dxa"/>
          </w:tblCellMar>
        </w:tblPrEx>
        <w:tc>
          <w:tcPr>
            <w:tcW w:w="900" w:type="dxa"/>
            <w:shd w:val="clear" w:color="auto" w:fill="1F3864"/>
            <w:tcMar>
              <w:top w:w="70" w:type="dxa"/>
              <w:left w:w="100" w:type="dxa"/>
              <w:bottom w:w="70" w:type="dxa"/>
              <w:right w:w="100" w:type="dxa"/>
            </w:tcMar>
            <w:vAlign w:val="center"/>
          </w:tcPr>
          <w:p w14:paraId="0868CD78" w14:textId="77777777" w:rsidR="00292092" w:rsidRDefault="00000000">
            <w:r>
              <w:rPr>
                <w:b/>
                <w:bCs/>
                <w:color w:val="FFFFFF"/>
                <w:sz w:val="18"/>
                <w:szCs w:val="18"/>
              </w:rPr>
              <w:t>ID</w:t>
            </w:r>
          </w:p>
        </w:tc>
        <w:tc>
          <w:tcPr>
            <w:tcW w:w="4287" w:type="dxa"/>
            <w:shd w:val="clear" w:color="auto" w:fill="1F3864"/>
            <w:tcMar>
              <w:top w:w="70" w:type="dxa"/>
              <w:left w:w="100" w:type="dxa"/>
              <w:bottom w:w="70" w:type="dxa"/>
              <w:right w:w="100" w:type="dxa"/>
            </w:tcMar>
            <w:vAlign w:val="center"/>
          </w:tcPr>
          <w:p w14:paraId="379F29B8" w14:textId="77777777" w:rsidR="00292092" w:rsidRDefault="00000000">
            <w:r>
              <w:rPr>
                <w:b/>
                <w:bCs/>
                <w:color w:val="FFFFFF"/>
                <w:sz w:val="18"/>
                <w:szCs w:val="18"/>
              </w:rPr>
              <w:t>User Story</w:t>
            </w:r>
          </w:p>
        </w:tc>
        <w:tc>
          <w:tcPr>
            <w:tcW w:w="5019" w:type="dxa"/>
            <w:shd w:val="clear" w:color="auto" w:fill="1F3864"/>
            <w:tcMar>
              <w:top w:w="70" w:type="dxa"/>
              <w:left w:w="100" w:type="dxa"/>
              <w:bottom w:w="70" w:type="dxa"/>
              <w:right w:w="100" w:type="dxa"/>
            </w:tcMar>
            <w:vAlign w:val="center"/>
          </w:tcPr>
          <w:p w14:paraId="7010495D" w14:textId="77777777" w:rsidR="00292092" w:rsidRDefault="00000000">
            <w:r>
              <w:rPr>
                <w:b/>
                <w:bCs/>
                <w:color w:val="FFFFFF"/>
                <w:sz w:val="18"/>
                <w:szCs w:val="18"/>
              </w:rPr>
              <w:t>Tests d'acceptance</w:t>
            </w:r>
          </w:p>
        </w:tc>
      </w:tr>
      <w:tr w:rsidR="00292092" w14:paraId="48E28C57" w14:textId="77777777">
        <w:tblPrEx>
          <w:tblCellMar>
            <w:top w:w="0" w:type="dxa"/>
            <w:bottom w:w="0" w:type="dxa"/>
          </w:tblCellMar>
        </w:tblPrEx>
        <w:tc>
          <w:tcPr>
            <w:tcW w:w="900" w:type="dxa"/>
            <w:tcMar>
              <w:top w:w="70" w:type="dxa"/>
              <w:left w:w="100" w:type="dxa"/>
              <w:bottom w:w="70" w:type="dxa"/>
              <w:right w:w="100" w:type="dxa"/>
            </w:tcMar>
            <w:vAlign w:val="center"/>
          </w:tcPr>
          <w:p w14:paraId="6AFBF87C" w14:textId="77777777" w:rsidR="00292092" w:rsidRDefault="00000000">
            <w:pPr>
              <w:jc w:val="center"/>
            </w:pPr>
            <w:r>
              <w:rPr>
                <w:b/>
                <w:bCs/>
                <w:color w:val="000000"/>
                <w:sz w:val="18"/>
                <w:szCs w:val="18"/>
              </w:rPr>
              <w:t>US1</w:t>
            </w:r>
          </w:p>
        </w:tc>
        <w:tc>
          <w:tcPr>
            <w:tcW w:w="4287" w:type="dxa"/>
            <w:tcMar>
              <w:top w:w="70" w:type="dxa"/>
              <w:left w:w="100" w:type="dxa"/>
              <w:bottom w:w="70" w:type="dxa"/>
              <w:right w:w="100" w:type="dxa"/>
            </w:tcMar>
            <w:vAlign w:val="center"/>
          </w:tcPr>
          <w:p w14:paraId="5F78A561" w14:textId="77777777" w:rsidR="00292092" w:rsidRDefault="00000000">
            <w:r>
              <w:rPr>
                <w:color w:val="000000"/>
                <w:sz w:val="18"/>
                <w:szCs w:val="18"/>
              </w:rPr>
              <w:t>En tant qu'utilisateur, je veux que PTL stocke localement l'ensemble des séries, afin de pouvoir travailler sur mes données hors connexion.</w:t>
            </w:r>
          </w:p>
        </w:tc>
        <w:tc>
          <w:tcPr>
            <w:tcW w:w="5019" w:type="dxa"/>
            <w:tcMar>
              <w:top w:w="80" w:type="dxa"/>
              <w:left w:w="120" w:type="dxa"/>
              <w:bottom w:w="80" w:type="dxa"/>
              <w:right w:w="120" w:type="dxa"/>
            </w:tcMar>
          </w:tcPr>
          <w:p w14:paraId="326D6FA7" w14:textId="77777777" w:rsidR="00292092" w:rsidRDefault="00000000">
            <w:pPr>
              <w:spacing w:after="40"/>
            </w:pPr>
            <w:r>
              <w:rPr>
                <w:sz w:val="17"/>
                <w:szCs w:val="17"/>
              </w:rPr>
              <w:t>• Après import d'une série, ses valeurs sont persistées sur le disque local.</w:t>
            </w:r>
          </w:p>
          <w:p w14:paraId="2B612559" w14:textId="77777777" w:rsidR="00292092" w:rsidRDefault="00000000">
            <w:r>
              <w:rPr>
                <w:sz w:val="17"/>
                <w:szCs w:val="17"/>
              </w:rPr>
              <w:t>• Au redémarrage de l'application sans connexion internet, toutes les séries précédemment importées restent disponibles et affichables.</w:t>
            </w:r>
          </w:p>
        </w:tc>
      </w:tr>
      <w:tr w:rsidR="00292092" w14:paraId="103BDA9B" w14:textId="77777777">
        <w:tblPrEx>
          <w:tblCellMar>
            <w:top w:w="0" w:type="dxa"/>
            <w:bottom w:w="0" w:type="dxa"/>
          </w:tblCellMar>
        </w:tblPrEx>
        <w:tc>
          <w:tcPr>
            <w:tcW w:w="900" w:type="dxa"/>
            <w:tcMar>
              <w:top w:w="70" w:type="dxa"/>
              <w:left w:w="100" w:type="dxa"/>
              <w:bottom w:w="70" w:type="dxa"/>
              <w:right w:w="100" w:type="dxa"/>
            </w:tcMar>
            <w:vAlign w:val="center"/>
          </w:tcPr>
          <w:p w14:paraId="362ECA9C" w14:textId="77777777" w:rsidR="00292092" w:rsidRDefault="00000000">
            <w:pPr>
              <w:jc w:val="center"/>
            </w:pPr>
            <w:r>
              <w:rPr>
                <w:b/>
                <w:bCs/>
                <w:color w:val="000000"/>
                <w:sz w:val="18"/>
                <w:szCs w:val="18"/>
              </w:rPr>
              <w:t>US2</w:t>
            </w:r>
          </w:p>
        </w:tc>
        <w:tc>
          <w:tcPr>
            <w:tcW w:w="4287" w:type="dxa"/>
            <w:tcMar>
              <w:top w:w="70" w:type="dxa"/>
              <w:left w:w="100" w:type="dxa"/>
              <w:bottom w:w="70" w:type="dxa"/>
              <w:right w:w="100" w:type="dxa"/>
            </w:tcMar>
            <w:vAlign w:val="center"/>
          </w:tcPr>
          <w:p w14:paraId="3C1F96D1" w14:textId="77777777" w:rsidR="00292092" w:rsidRDefault="00000000">
            <w:r>
              <w:rPr>
                <w:color w:val="000000"/>
                <w:sz w:val="18"/>
                <w:szCs w:val="18"/>
              </w:rPr>
              <w:t>En tant qu'utilisateur, je veux importer des valeurs depuis un fichier CSV, afin d'ajouter facilement des séries existantes (ex. export de stooq.com).</w:t>
            </w:r>
          </w:p>
        </w:tc>
        <w:tc>
          <w:tcPr>
            <w:tcW w:w="5019" w:type="dxa"/>
            <w:tcMar>
              <w:top w:w="80" w:type="dxa"/>
              <w:left w:w="120" w:type="dxa"/>
              <w:bottom w:w="80" w:type="dxa"/>
              <w:right w:w="120" w:type="dxa"/>
            </w:tcMar>
          </w:tcPr>
          <w:p w14:paraId="22E9A918" w14:textId="77777777" w:rsidR="00292092" w:rsidRDefault="00000000">
            <w:pPr>
              <w:spacing w:after="40"/>
            </w:pPr>
            <w:r>
              <w:rPr>
                <w:sz w:val="17"/>
                <w:szCs w:val="17"/>
              </w:rPr>
              <w:t>• L'utilisateur sélectionne un fichier CSV via une boîte de dialogue.</w:t>
            </w:r>
          </w:p>
          <w:p w14:paraId="7908B709" w14:textId="77777777" w:rsidR="00292092" w:rsidRDefault="00000000">
            <w:pPr>
              <w:spacing w:after="40"/>
            </w:pPr>
            <w:r>
              <w:rPr>
                <w:sz w:val="17"/>
                <w:szCs w:val="17"/>
              </w:rPr>
              <w:t>• Les valeurs sont ajoutées à une série existante ou une nouvelle série est créée avec le nom saisi.</w:t>
            </w:r>
          </w:p>
          <w:p w14:paraId="5E62D2BF" w14:textId="77777777" w:rsidR="00292092" w:rsidRDefault="00000000">
            <w:r>
              <w:rPr>
                <w:sz w:val="17"/>
                <w:szCs w:val="17"/>
              </w:rPr>
              <w:t>• Si le fichier est mal formé, un message d'erreur explicite est affiché et aucune donnée corrompue n'est enregistrée.</w:t>
            </w:r>
          </w:p>
        </w:tc>
      </w:tr>
      <w:tr w:rsidR="00292092" w14:paraId="76B7490B" w14:textId="77777777">
        <w:tblPrEx>
          <w:tblCellMar>
            <w:top w:w="0" w:type="dxa"/>
            <w:bottom w:w="0" w:type="dxa"/>
          </w:tblCellMar>
        </w:tblPrEx>
        <w:tc>
          <w:tcPr>
            <w:tcW w:w="900" w:type="dxa"/>
            <w:tcMar>
              <w:top w:w="70" w:type="dxa"/>
              <w:left w:w="100" w:type="dxa"/>
              <w:bottom w:w="70" w:type="dxa"/>
              <w:right w:w="100" w:type="dxa"/>
            </w:tcMar>
            <w:vAlign w:val="center"/>
          </w:tcPr>
          <w:p w14:paraId="633E3164" w14:textId="77777777" w:rsidR="00292092" w:rsidRDefault="00000000">
            <w:pPr>
              <w:jc w:val="center"/>
            </w:pPr>
            <w:r>
              <w:rPr>
                <w:b/>
                <w:bCs/>
                <w:color w:val="000000"/>
                <w:sz w:val="18"/>
                <w:szCs w:val="18"/>
              </w:rPr>
              <w:t>US3</w:t>
            </w:r>
          </w:p>
        </w:tc>
        <w:tc>
          <w:tcPr>
            <w:tcW w:w="4287" w:type="dxa"/>
            <w:tcMar>
              <w:top w:w="70" w:type="dxa"/>
              <w:left w:w="100" w:type="dxa"/>
              <w:bottom w:w="70" w:type="dxa"/>
              <w:right w:w="100" w:type="dxa"/>
            </w:tcMar>
            <w:vAlign w:val="center"/>
          </w:tcPr>
          <w:p w14:paraId="63F9B54C" w14:textId="77777777" w:rsidR="00292092" w:rsidRDefault="00000000">
            <w:r>
              <w:rPr>
                <w:color w:val="000000"/>
                <w:sz w:val="18"/>
                <w:szCs w:val="18"/>
              </w:rPr>
              <w:t>En tant qu'utilisateur, je veux importer des valeurs depuis un fichier JSON, afin de disposer d'un second format d'import.</w:t>
            </w:r>
          </w:p>
        </w:tc>
        <w:tc>
          <w:tcPr>
            <w:tcW w:w="5019" w:type="dxa"/>
            <w:tcMar>
              <w:top w:w="80" w:type="dxa"/>
              <w:left w:w="120" w:type="dxa"/>
              <w:bottom w:w="80" w:type="dxa"/>
              <w:right w:w="120" w:type="dxa"/>
            </w:tcMar>
          </w:tcPr>
          <w:p w14:paraId="7DAD1AFE" w14:textId="77777777" w:rsidR="00292092" w:rsidRDefault="00000000">
            <w:pPr>
              <w:spacing w:after="40"/>
            </w:pPr>
            <w:r>
              <w:rPr>
                <w:sz w:val="17"/>
                <w:szCs w:val="17"/>
              </w:rPr>
              <w:t>• L'utilisateur sélectionne un fichier JSON valide.</w:t>
            </w:r>
          </w:p>
          <w:p w14:paraId="74F1822C" w14:textId="77777777" w:rsidR="00292092" w:rsidRDefault="00000000">
            <w:pPr>
              <w:spacing w:after="40"/>
            </w:pPr>
            <w:r>
              <w:rPr>
                <w:sz w:val="17"/>
                <w:szCs w:val="17"/>
              </w:rPr>
              <w:t>• Les valeurs (date + valeur) sont correctement associées à la série cible.</w:t>
            </w:r>
          </w:p>
          <w:p w14:paraId="701BD495" w14:textId="77777777" w:rsidR="00292092" w:rsidRDefault="00000000">
            <w:r>
              <w:rPr>
                <w:sz w:val="17"/>
                <w:szCs w:val="17"/>
              </w:rPr>
              <w:t>• Un JSON mal structuré produit un message d'erreur clair, sans planter l'application.</w:t>
            </w:r>
          </w:p>
        </w:tc>
      </w:tr>
      <w:tr w:rsidR="00292092" w14:paraId="1978C342" w14:textId="77777777">
        <w:tblPrEx>
          <w:tblCellMar>
            <w:top w:w="0" w:type="dxa"/>
            <w:bottom w:w="0" w:type="dxa"/>
          </w:tblCellMar>
        </w:tblPrEx>
        <w:tc>
          <w:tcPr>
            <w:tcW w:w="900" w:type="dxa"/>
            <w:tcMar>
              <w:top w:w="70" w:type="dxa"/>
              <w:left w:w="100" w:type="dxa"/>
              <w:bottom w:w="70" w:type="dxa"/>
              <w:right w:w="100" w:type="dxa"/>
            </w:tcMar>
            <w:vAlign w:val="center"/>
          </w:tcPr>
          <w:p w14:paraId="707A2101" w14:textId="77777777" w:rsidR="00292092" w:rsidRDefault="00000000">
            <w:pPr>
              <w:jc w:val="center"/>
            </w:pPr>
            <w:r>
              <w:rPr>
                <w:b/>
                <w:bCs/>
                <w:color w:val="000000"/>
                <w:sz w:val="18"/>
                <w:szCs w:val="18"/>
              </w:rPr>
              <w:t>US4</w:t>
            </w:r>
          </w:p>
        </w:tc>
        <w:tc>
          <w:tcPr>
            <w:tcW w:w="4287" w:type="dxa"/>
            <w:tcMar>
              <w:top w:w="70" w:type="dxa"/>
              <w:left w:w="100" w:type="dxa"/>
              <w:bottom w:w="70" w:type="dxa"/>
              <w:right w:w="100" w:type="dxa"/>
            </w:tcMar>
            <w:vAlign w:val="center"/>
          </w:tcPr>
          <w:p w14:paraId="185126DD" w14:textId="77777777" w:rsidR="00292092" w:rsidRDefault="00000000">
            <w:r>
              <w:rPr>
                <w:color w:val="000000"/>
                <w:sz w:val="18"/>
                <w:szCs w:val="18"/>
              </w:rPr>
              <w:t>En tant qu'utilisateur, je veux importer des valeurs reçues directement d'une API externe (JSON), afin de récupérer des cours à jour sans téléchargement manuel.</w:t>
            </w:r>
          </w:p>
        </w:tc>
        <w:tc>
          <w:tcPr>
            <w:tcW w:w="5019" w:type="dxa"/>
            <w:tcMar>
              <w:top w:w="80" w:type="dxa"/>
              <w:left w:w="120" w:type="dxa"/>
              <w:bottom w:w="80" w:type="dxa"/>
              <w:right w:w="120" w:type="dxa"/>
            </w:tcMar>
          </w:tcPr>
          <w:p w14:paraId="7C4CBDBB" w14:textId="77777777" w:rsidR="00292092" w:rsidRDefault="00000000">
            <w:pPr>
              <w:spacing w:after="40"/>
            </w:pPr>
            <w:r>
              <w:rPr>
                <w:sz w:val="17"/>
                <w:szCs w:val="17"/>
              </w:rPr>
              <w:t>• L'utilisateur indique l'URL/le paramètre de la série à récupérer (ex. EUR/USD).</w:t>
            </w:r>
          </w:p>
          <w:p w14:paraId="271799C8" w14:textId="77777777" w:rsidR="00292092" w:rsidRDefault="00000000">
            <w:pPr>
              <w:spacing w:after="40"/>
            </w:pPr>
            <w:r>
              <w:rPr>
                <w:sz w:val="17"/>
                <w:szCs w:val="17"/>
              </w:rPr>
              <w:t>• Les données reçues au format JSON sont converties et ajoutées à la série correspondante.</w:t>
            </w:r>
          </w:p>
          <w:p w14:paraId="4F736865" w14:textId="77777777" w:rsidR="00292092" w:rsidRDefault="00000000">
            <w:r>
              <w:rPr>
                <w:sz w:val="17"/>
                <w:szCs w:val="17"/>
              </w:rPr>
              <w:t>• En cas d'échec réseau ou de réponse invalide, un message d'erreur informe l'utilisateur sans perte des données déjà stockées.</w:t>
            </w:r>
          </w:p>
        </w:tc>
      </w:tr>
      <w:tr w:rsidR="00292092" w14:paraId="04DA60CC" w14:textId="77777777">
        <w:tblPrEx>
          <w:tblCellMar>
            <w:top w:w="0" w:type="dxa"/>
            <w:bottom w:w="0" w:type="dxa"/>
          </w:tblCellMar>
        </w:tblPrEx>
        <w:tc>
          <w:tcPr>
            <w:tcW w:w="900" w:type="dxa"/>
            <w:tcMar>
              <w:top w:w="70" w:type="dxa"/>
              <w:left w:w="100" w:type="dxa"/>
              <w:bottom w:w="70" w:type="dxa"/>
              <w:right w:w="100" w:type="dxa"/>
            </w:tcMar>
            <w:vAlign w:val="center"/>
          </w:tcPr>
          <w:p w14:paraId="48E78947" w14:textId="77777777" w:rsidR="00292092" w:rsidRDefault="00000000">
            <w:pPr>
              <w:jc w:val="center"/>
            </w:pPr>
            <w:r>
              <w:rPr>
                <w:b/>
                <w:bCs/>
                <w:color w:val="000000"/>
                <w:sz w:val="18"/>
                <w:szCs w:val="18"/>
              </w:rPr>
              <w:t>US5</w:t>
            </w:r>
          </w:p>
        </w:tc>
        <w:tc>
          <w:tcPr>
            <w:tcW w:w="4287" w:type="dxa"/>
            <w:tcMar>
              <w:top w:w="70" w:type="dxa"/>
              <w:left w:w="100" w:type="dxa"/>
              <w:bottom w:w="70" w:type="dxa"/>
              <w:right w:w="100" w:type="dxa"/>
            </w:tcMar>
            <w:vAlign w:val="center"/>
          </w:tcPr>
          <w:p w14:paraId="758A3B83" w14:textId="77777777" w:rsidR="00292092" w:rsidRDefault="00000000">
            <w:r>
              <w:rPr>
                <w:color w:val="000000"/>
                <w:sz w:val="18"/>
                <w:szCs w:val="18"/>
              </w:rPr>
              <w:t>En tant qu'utilisateur, je veux afficher plusieurs séries simultanément sur un graphique à axe temporel commun, afin de comparer leur évolution.</w:t>
            </w:r>
          </w:p>
        </w:tc>
        <w:tc>
          <w:tcPr>
            <w:tcW w:w="5019" w:type="dxa"/>
            <w:tcMar>
              <w:top w:w="80" w:type="dxa"/>
              <w:left w:w="120" w:type="dxa"/>
              <w:bottom w:w="80" w:type="dxa"/>
              <w:right w:w="120" w:type="dxa"/>
            </w:tcMar>
          </w:tcPr>
          <w:p w14:paraId="5319FECF" w14:textId="77777777" w:rsidR="00292092" w:rsidRDefault="00000000">
            <w:pPr>
              <w:spacing w:after="40"/>
            </w:pPr>
            <w:r>
              <w:rPr>
                <w:sz w:val="17"/>
                <w:szCs w:val="17"/>
              </w:rPr>
              <w:t>• L'utilisateur peut cocher 2 séries ou plus dans la liste des séries disponibles.</w:t>
            </w:r>
          </w:p>
          <w:p w14:paraId="27512C88" w14:textId="77777777" w:rsidR="00292092" w:rsidRDefault="00000000">
            <w:pPr>
              <w:spacing w:after="40"/>
            </w:pPr>
            <w:r>
              <w:rPr>
                <w:sz w:val="17"/>
                <w:szCs w:val="17"/>
              </w:rPr>
              <w:t>• Le graphique affiche toutes les séries cochées avec une couleur distincte et une légende.</w:t>
            </w:r>
          </w:p>
          <w:p w14:paraId="7026355F" w14:textId="77777777" w:rsidR="00292092" w:rsidRDefault="00000000">
            <w:r>
              <w:rPr>
                <w:sz w:val="17"/>
                <w:szCs w:val="17"/>
              </w:rPr>
              <w:t>• L'axe des abscisses correspond aux dates communes aux séries sélectionnées.</w:t>
            </w:r>
          </w:p>
        </w:tc>
      </w:tr>
      <w:tr w:rsidR="00292092" w14:paraId="027D8668" w14:textId="77777777">
        <w:tblPrEx>
          <w:tblCellMar>
            <w:top w:w="0" w:type="dxa"/>
            <w:bottom w:w="0" w:type="dxa"/>
          </w:tblCellMar>
        </w:tblPrEx>
        <w:tc>
          <w:tcPr>
            <w:tcW w:w="900" w:type="dxa"/>
            <w:tcMar>
              <w:top w:w="70" w:type="dxa"/>
              <w:left w:w="100" w:type="dxa"/>
              <w:bottom w:w="70" w:type="dxa"/>
              <w:right w:w="100" w:type="dxa"/>
            </w:tcMar>
            <w:vAlign w:val="center"/>
          </w:tcPr>
          <w:p w14:paraId="48C01926" w14:textId="77777777" w:rsidR="00292092" w:rsidRDefault="00000000">
            <w:pPr>
              <w:jc w:val="center"/>
            </w:pPr>
            <w:r>
              <w:rPr>
                <w:b/>
                <w:bCs/>
                <w:color w:val="000000"/>
                <w:sz w:val="18"/>
                <w:szCs w:val="18"/>
              </w:rPr>
              <w:t>US6</w:t>
            </w:r>
          </w:p>
        </w:tc>
        <w:tc>
          <w:tcPr>
            <w:tcW w:w="4287" w:type="dxa"/>
            <w:tcMar>
              <w:top w:w="70" w:type="dxa"/>
              <w:left w:w="100" w:type="dxa"/>
              <w:bottom w:w="70" w:type="dxa"/>
              <w:right w:w="100" w:type="dxa"/>
            </w:tcMar>
            <w:vAlign w:val="center"/>
          </w:tcPr>
          <w:p w14:paraId="0C9192A3" w14:textId="77777777" w:rsidR="00292092" w:rsidRDefault="00000000">
            <w:r>
              <w:rPr>
                <w:color w:val="000000"/>
                <w:sz w:val="18"/>
                <w:szCs w:val="18"/>
              </w:rPr>
              <w:t>En tant qu'utilisateur, je veux bénéficier d'une grande flexibilité d'affichage, afin d'analyser mes données en détail.</w:t>
            </w:r>
          </w:p>
        </w:tc>
        <w:tc>
          <w:tcPr>
            <w:tcW w:w="5019" w:type="dxa"/>
            <w:tcMar>
              <w:top w:w="80" w:type="dxa"/>
              <w:left w:w="120" w:type="dxa"/>
              <w:bottom w:w="80" w:type="dxa"/>
              <w:right w:w="120" w:type="dxa"/>
            </w:tcMar>
          </w:tcPr>
          <w:p w14:paraId="47B323CC" w14:textId="77777777" w:rsidR="00292092" w:rsidRDefault="00000000">
            <w:pPr>
              <w:spacing w:after="40"/>
            </w:pPr>
            <w:r>
              <w:rPr>
                <w:sz w:val="17"/>
                <w:szCs w:val="17"/>
              </w:rPr>
              <w:t>• L'utilisateur peut restreindre l'affichage à une plage de dates précise.</w:t>
            </w:r>
          </w:p>
          <w:p w14:paraId="3E7125DF" w14:textId="77777777" w:rsidR="00292092" w:rsidRDefault="00000000">
            <w:pPr>
              <w:spacing w:after="40"/>
            </w:pPr>
            <w:r>
              <w:rPr>
                <w:sz w:val="17"/>
                <w:szCs w:val="17"/>
              </w:rPr>
              <w:t>• L'utilisateur peut zoomer/dézoomer sur le graphique.</w:t>
            </w:r>
          </w:p>
          <w:p w14:paraId="15C6B0E9" w14:textId="77777777" w:rsidR="00292092" w:rsidRDefault="00000000">
            <w:r>
              <w:rPr>
                <w:sz w:val="17"/>
                <w:szCs w:val="17"/>
              </w:rPr>
              <w:t>• L'utilisateur peut basculer entre échelle linéaire et logarithmique, et normaliser les séries en pourcentage pour comparer des actifs d'ordres de grandeur différents (ex. cours d'action vs taux de change).</w:t>
            </w:r>
          </w:p>
        </w:tc>
      </w:tr>
    </w:tbl>
    <w:p w14:paraId="2499FA42" w14:textId="77777777" w:rsidR="00292092" w:rsidRDefault="00292092">
      <w:pPr>
        <w:spacing w:after="120"/>
      </w:pPr>
    </w:p>
    <w:p w14:paraId="42226B7A" w14:textId="77777777" w:rsidR="00292092" w:rsidRDefault="00000000">
      <w:pPr>
        <w:pStyle w:val="Titre2"/>
        <w:spacing w:before="220" w:after="110"/>
      </w:pPr>
      <w:r>
        <w:rPr>
          <w:b/>
          <w:bCs/>
          <w:sz w:val="24"/>
          <w:szCs w:val="24"/>
        </w:rPr>
        <w:t>2.2 Maquettes</w:t>
      </w:r>
    </w:p>
    <w:p w14:paraId="3D820C53" w14:textId="77777777" w:rsidR="00292092" w:rsidRDefault="00000000">
      <w:pPr>
        <w:spacing w:after="120"/>
      </w:pPr>
      <w:r>
        <w:t>Deux maquettes illustrent l'interface envisagée : la fenêtre principale (liste des séries, graphique, contrôles de flexibilité) et la boîte de dialogue d'import.</w:t>
      </w:r>
    </w:p>
    <w:p w14:paraId="411FA04C" w14:textId="77777777" w:rsidR="00292092" w:rsidRDefault="00000000">
      <w:pPr>
        <w:pStyle w:val="Titre3"/>
        <w:spacing w:before="160" w:after="80"/>
      </w:pPr>
      <w:r>
        <w:rPr>
          <w:b/>
          <w:bCs/>
          <w:color w:val="1F3864"/>
          <w:sz w:val="21"/>
          <w:szCs w:val="21"/>
        </w:rPr>
        <w:t>Fenêtre principale</w:t>
      </w:r>
    </w:p>
    <w:p w14:paraId="75555CC5" w14:textId="77777777" w:rsidR="00292092" w:rsidRDefault="00000000">
      <w:pPr>
        <w:spacing w:before="120" w:after="120"/>
        <w:jc w:val="center"/>
      </w:pPr>
      <w:r>
        <w:rPr>
          <w:noProof/>
        </w:rPr>
        <w:lastRenderedPageBreak/>
        <w:drawing>
          <wp:inline distT="0" distB="0" distL="0" distR="0" wp14:anchorId="2FF17405" wp14:editId="5CFCB496">
            <wp:extent cx="5334000" cy="3409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409950"/>
                    </a:xfrm>
                    <a:prstGeom prst="rect">
                      <a:avLst/>
                    </a:prstGeom>
                  </pic:spPr>
                </pic:pic>
              </a:graphicData>
            </a:graphic>
          </wp:inline>
        </w:drawing>
      </w:r>
    </w:p>
    <w:p w14:paraId="66D4F79C" w14:textId="77777777" w:rsidR="00292092" w:rsidRDefault="00000000">
      <w:pPr>
        <w:spacing w:after="200"/>
        <w:jc w:val="center"/>
      </w:pPr>
      <w:r>
        <w:rPr>
          <w:i/>
          <w:iCs/>
          <w:color w:val="595959"/>
          <w:sz w:val="17"/>
          <w:szCs w:val="17"/>
        </w:rPr>
        <w:t>Fig. 1 — Fenêtre principale : sélection des séries (US1, US5), zone graphique multi-séries (US5), contrôles de période/échelle/normalisation (US6), boutons d'import (US2–US4).</w:t>
      </w:r>
    </w:p>
    <w:p w14:paraId="132C1A3B" w14:textId="77777777" w:rsidR="00292092" w:rsidRDefault="00000000">
      <w:pPr>
        <w:pStyle w:val="Titre3"/>
        <w:spacing w:before="160" w:after="80"/>
      </w:pPr>
      <w:r>
        <w:rPr>
          <w:b/>
          <w:bCs/>
          <w:color w:val="1F3864"/>
          <w:sz w:val="21"/>
          <w:szCs w:val="21"/>
        </w:rPr>
        <w:t>Dialogue d'import</w:t>
      </w:r>
    </w:p>
    <w:p w14:paraId="1DF6F4E5" w14:textId="77777777" w:rsidR="00292092" w:rsidRDefault="00000000">
      <w:pPr>
        <w:spacing w:before="120" w:after="120"/>
        <w:jc w:val="center"/>
      </w:pPr>
      <w:r>
        <w:rPr>
          <w:noProof/>
        </w:rPr>
        <w:drawing>
          <wp:inline distT="0" distB="0" distL="0" distR="0" wp14:anchorId="65A8D759" wp14:editId="195A7103">
            <wp:extent cx="4572000" cy="2743200"/>
            <wp:effectExtent l="0" t="0" r="0" b="0"/>
            <wp:docPr id="786321763" name="Image 78632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743200"/>
                    </a:xfrm>
                    <a:prstGeom prst="rect">
                      <a:avLst/>
                    </a:prstGeom>
                  </pic:spPr>
                </pic:pic>
              </a:graphicData>
            </a:graphic>
          </wp:inline>
        </w:drawing>
      </w:r>
    </w:p>
    <w:p w14:paraId="261DB628" w14:textId="77777777" w:rsidR="00292092" w:rsidRDefault="00000000">
      <w:pPr>
        <w:spacing w:after="200"/>
        <w:jc w:val="center"/>
      </w:pPr>
      <w:r>
        <w:rPr>
          <w:i/>
          <w:iCs/>
          <w:color w:val="595959"/>
          <w:sz w:val="17"/>
          <w:szCs w:val="17"/>
        </w:rPr>
        <w:t>Fig. 2 — Dialogue d'import : choix du format (CSV / JSON fichier / JSON API), sélection du fichier ou de l'URL, aperçu avant validation (US2–US4).</w:t>
      </w:r>
    </w:p>
    <w:p w14:paraId="5CE1E283" w14:textId="77777777" w:rsidR="00292092" w:rsidRDefault="00000000">
      <w:r>
        <w:br w:type="page"/>
      </w:r>
    </w:p>
    <w:p w14:paraId="60BBAE74" w14:textId="77777777" w:rsidR="00292092" w:rsidRDefault="00000000">
      <w:pPr>
        <w:pStyle w:val="Titre1"/>
        <w:spacing w:before="320" w:after="150"/>
      </w:pPr>
      <w:r>
        <w:rPr>
          <w:b/>
          <w:bCs/>
          <w:color w:val="1F3864"/>
          <w:sz w:val="28"/>
          <w:szCs w:val="28"/>
        </w:rPr>
        <w:lastRenderedPageBreak/>
        <w:t>3. Planification initiale</w:t>
      </w:r>
    </w:p>
    <w:p w14:paraId="1B208371" w14:textId="77777777" w:rsidR="00292092" w:rsidRDefault="00000000">
      <w:pPr>
        <w:spacing w:after="120"/>
      </w:pPr>
      <w:r>
        <w:t>La réalisation du projet est répartie sur 10 séances hebdomadaires (jeudi, 08h50–11h25, pause de 09h35 à 09h50), du 27.08.2026 au 29.10.2026. Les deux premières séances couvrent l'analyse présentée dans ce rapport ; les séances 3 à 8 couvrent le développement des User Stories ; les séances 9 et 10 sont consacrées à la rédaction du rapport final et à la livraison.</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
        <w:gridCol w:w="1500"/>
        <w:gridCol w:w="1800"/>
        <w:gridCol w:w="4256"/>
        <w:gridCol w:w="1700"/>
      </w:tblGrid>
      <w:tr w:rsidR="00292092" w14:paraId="6FE3FDBE" w14:textId="77777777">
        <w:tblPrEx>
          <w:tblCellMar>
            <w:top w:w="0" w:type="dxa"/>
            <w:bottom w:w="0" w:type="dxa"/>
          </w:tblCellMar>
        </w:tblPrEx>
        <w:tc>
          <w:tcPr>
            <w:tcW w:w="950" w:type="dxa"/>
            <w:shd w:val="clear" w:color="auto" w:fill="1F3864"/>
            <w:tcMar>
              <w:top w:w="70" w:type="dxa"/>
              <w:left w:w="100" w:type="dxa"/>
              <w:bottom w:w="70" w:type="dxa"/>
              <w:right w:w="100" w:type="dxa"/>
            </w:tcMar>
            <w:vAlign w:val="center"/>
          </w:tcPr>
          <w:p w14:paraId="495F3DB9" w14:textId="77777777" w:rsidR="00292092" w:rsidRDefault="00000000">
            <w:pPr>
              <w:jc w:val="center"/>
            </w:pPr>
            <w:r>
              <w:rPr>
                <w:b/>
                <w:bCs/>
                <w:color w:val="FFFFFF"/>
                <w:sz w:val="18"/>
                <w:szCs w:val="18"/>
              </w:rPr>
              <w:t>Séance</w:t>
            </w:r>
          </w:p>
        </w:tc>
        <w:tc>
          <w:tcPr>
            <w:tcW w:w="1500" w:type="dxa"/>
            <w:shd w:val="clear" w:color="auto" w:fill="1F3864"/>
            <w:tcMar>
              <w:top w:w="70" w:type="dxa"/>
              <w:left w:w="100" w:type="dxa"/>
              <w:bottom w:w="70" w:type="dxa"/>
              <w:right w:w="100" w:type="dxa"/>
            </w:tcMar>
            <w:vAlign w:val="center"/>
          </w:tcPr>
          <w:p w14:paraId="65CFBA78" w14:textId="77777777" w:rsidR="00292092" w:rsidRDefault="00000000">
            <w:r>
              <w:rPr>
                <w:b/>
                <w:bCs/>
                <w:color w:val="FFFFFF"/>
                <w:sz w:val="18"/>
                <w:szCs w:val="18"/>
              </w:rPr>
              <w:t>Date</w:t>
            </w:r>
          </w:p>
        </w:tc>
        <w:tc>
          <w:tcPr>
            <w:tcW w:w="1800" w:type="dxa"/>
            <w:shd w:val="clear" w:color="auto" w:fill="1F3864"/>
            <w:tcMar>
              <w:top w:w="70" w:type="dxa"/>
              <w:left w:w="100" w:type="dxa"/>
              <w:bottom w:w="70" w:type="dxa"/>
              <w:right w:w="100" w:type="dxa"/>
            </w:tcMar>
            <w:vAlign w:val="center"/>
          </w:tcPr>
          <w:p w14:paraId="6D318CBF" w14:textId="77777777" w:rsidR="00292092" w:rsidRDefault="00000000">
            <w:r>
              <w:rPr>
                <w:b/>
                <w:bCs/>
                <w:color w:val="FFFFFF"/>
                <w:sz w:val="18"/>
                <w:szCs w:val="18"/>
              </w:rPr>
              <w:t>Phase</w:t>
            </w:r>
          </w:p>
        </w:tc>
        <w:tc>
          <w:tcPr>
            <w:tcW w:w="4256" w:type="dxa"/>
            <w:shd w:val="clear" w:color="auto" w:fill="1F3864"/>
            <w:tcMar>
              <w:top w:w="70" w:type="dxa"/>
              <w:left w:w="100" w:type="dxa"/>
              <w:bottom w:w="70" w:type="dxa"/>
              <w:right w:w="100" w:type="dxa"/>
            </w:tcMar>
            <w:vAlign w:val="center"/>
          </w:tcPr>
          <w:p w14:paraId="20F15E98" w14:textId="77777777" w:rsidR="00292092" w:rsidRDefault="00000000">
            <w:r>
              <w:rPr>
                <w:b/>
                <w:bCs/>
                <w:color w:val="FFFFFF"/>
                <w:sz w:val="18"/>
                <w:szCs w:val="18"/>
              </w:rPr>
              <w:t>Contenu principal</w:t>
            </w:r>
          </w:p>
        </w:tc>
        <w:tc>
          <w:tcPr>
            <w:tcW w:w="1700" w:type="dxa"/>
            <w:shd w:val="clear" w:color="auto" w:fill="1F3864"/>
            <w:tcMar>
              <w:top w:w="70" w:type="dxa"/>
              <w:left w:w="100" w:type="dxa"/>
              <w:bottom w:w="70" w:type="dxa"/>
              <w:right w:w="100" w:type="dxa"/>
            </w:tcMar>
            <w:vAlign w:val="center"/>
          </w:tcPr>
          <w:p w14:paraId="66C6B393" w14:textId="77777777" w:rsidR="00292092" w:rsidRDefault="00000000">
            <w:r>
              <w:rPr>
                <w:b/>
                <w:bCs/>
                <w:color w:val="FFFFFF"/>
                <w:sz w:val="18"/>
                <w:szCs w:val="18"/>
              </w:rPr>
              <w:t>Jalon</w:t>
            </w:r>
          </w:p>
        </w:tc>
      </w:tr>
      <w:tr w:rsidR="00292092" w14:paraId="58E15A26" w14:textId="77777777">
        <w:tblPrEx>
          <w:tblCellMar>
            <w:top w:w="0" w:type="dxa"/>
            <w:bottom w:w="0" w:type="dxa"/>
          </w:tblCellMar>
        </w:tblPrEx>
        <w:tc>
          <w:tcPr>
            <w:tcW w:w="950" w:type="dxa"/>
            <w:tcMar>
              <w:top w:w="70" w:type="dxa"/>
              <w:left w:w="100" w:type="dxa"/>
              <w:bottom w:w="70" w:type="dxa"/>
              <w:right w:w="100" w:type="dxa"/>
            </w:tcMar>
            <w:vAlign w:val="center"/>
          </w:tcPr>
          <w:p w14:paraId="188A5F15" w14:textId="77777777" w:rsidR="00292092" w:rsidRDefault="00000000">
            <w:pPr>
              <w:jc w:val="center"/>
            </w:pPr>
            <w:r>
              <w:rPr>
                <w:color w:val="000000"/>
                <w:sz w:val="18"/>
                <w:szCs w:val="18"/>
              </w:rPr>
              <w:t>1</w:t>
            </w:r>
          </w:p>
        </w:tc>
        <w:tc>
          <w:tcPr>
            <w:tcW w:w="1500" w:type="dxa"/>
            <w:tcMar>
              <w:top w:w="70" w:type="dxa"/>
              <w:left w:w="100" w:type="dxa"/>
              <w:bottom w:w="70" w:type="dxa"/>
              <w:right w:w="100" w:type="dxa"/>
            </w:tcMar>
            <w:vAlign w:val="center"/>
          </w:tcPr>
          <w:p w14:paraId="0F6E6241" w14:textId="77777777" w:rsidR="00292092" w:rsidRDefault="00000000">
            <w:r>
              <w:rPr>
                <w:color w:val="000000"/>
                <w:sz w:val="18"/>
                <w:szCs w:val="18"/>
              </w:rPr>
              <w:t>27.08.2026</w:t>
            </w:r>
          </w:p>
        </w:tc>
        <w:tc>
          <w:tcPr>
            <w:tcW w:w="1800" w:type="dxa"/>
            <w:tcMar>
              <w:top w:w="70" w:type="dxa"/>
              <w:left w:w="100" w:type="dxa"/>
              <w:bottom w:w="70" w:type="dxa"/>
              <w:right w:w="100" w:type="dxa"/>
            </w:tcMar>
            <w:vAlign w:val="center"/>
          </w:tcPr>
          <w:p w14:paraId="18BBFEE1" w14:textId="77777777" w:rsidR="00292092" w:rsidRDefault="00000000">
            <w:r>
              <w:rPr>
                <w:color w:val="000000"/>
                <w:sz w:val="18"/>
                <w:szCs w:val="18"/>
              </w:rPr>
              <w:t>Analyse</w:t>
            </w:r>
          </w:p>
        </w:tc>
        <w:tc>
          <w:tcPr>
            <w:tcW w:w="4256" w:type="dxa"/>
            <w:tcMar>
              <w:top w:w="70" w:type="dxa"/>
              <w:left w:w="100" w:type="dxa"/>
              <w:bottom w:w="70" w:type="dxa"/>
              <w:right w:w="100" w:type="dxa"/>
            </w:tcMar>
            <w:vAlign w:val="center"/>
          </w:tcPr>
          <w:p w14:paraId="7F2DB81B" w14:textId="77777777" w:rsidR="00292092" w:rsidRDefault="00000000">
            <w:r>
              <w:rPr>
                <w:color w:val="000000"/>
                <w:sz w:val="17"/>
                <w:szCs w:val="17"/>
              </w:rPr>
              <w:t>Choix du domaine (finance) et des sources ; démarrage des User Stories</w:t>
            </w:r>
          </w:p>
        </w:tc>
        <w:tc>
          <w:tcPr>
            <w:tcW w:w="1700" w:type="dxa"/>
            <w:tcMar>
              <w:top w:w="70" w:type="dxa"/>
              <w:left w:w="100" w:type="dxa"/>
              <w:bottom w:w="70" w:type="dxa"/>
              <w:right w:w="100" w:type="dxa"/>
            </w:tcMar>
            <w:vAlign w:val="center"/>
          </w:tcPr>
          <w:p w14:paraId="17FCD0C2" w14:textId="77777777" w:rsidR="00292092" w:rsidRDefault="00000000">
            <w:r>
              <w:rPr>
                <w:color w:val="000000"/>
                <w:sz w:val="17"/>
                <w:szCs w:val="17"/>
              </w:rPr>
              <w:t>—</w:t>
            </w:r>
          </w:p>
        </w:tc>
      </w:tr>
      <w:tr w:rsidR="00292092" w14:paraId="73F8B5B8" w14:textId="77777777">
        <w:tblPrEx>
          <w:tblCellMar>
            <w:top w:w="0" w:type="dxa"/>
            <w:bottom w:w="0" w:type="dxa"/>
          </w:tblCellMar>
        </w:tblPrEx>
        <w:tc>
          <w:tcPr>
            <w:tcW w:w="950" w:type="dxa"/>
            <w:tcMar>
              <w:top w:w="70" w:type="dxa"/>
              <w:left w:w="100" w:type="dxa"/>
              <w:bottom w:w="70" w:type="dxa"/>
              <w:right w:w="100" w:type="dxa"/>
            </w:tcMar>
            <w:vAlign w:val="center"/>
          </w:tcPr>
          <w:p w14:paraId="584C3C12" w14:textId="77777777" w:rsidR="00292092" w:rsidRDefault="00000000">
            <w:pPr>
              <w:jc w:val="center"/>
            </w:pPr>
            <w:r>
              <w:rPr>
                <w:color w:val="000000"/>
                <w:sz w:val="18"/>
                <w:szCs w:val="18"/>
              </w:rPr>
              <w:t>2</w:t>
            </w:r>
          </w:p>
        </w:tc>
        <w:tc>
          <w:tcPr>
            <w:tcW w:w="1500" w:type="dxa"/>
            <w:tcMar>
              <w:top w:w="70" w:type="dxa"/>
              <w:left w:w="100" w:type="dxa"/>
              <w:bottom w:w="70" w:type="dxa"/>
              <w:right w:w="100" w:type="dxa"/>
            </w:tcMar>
            <w:vAlign w:val="center"/>
          </w:tcPr>
          <w:p w14:paraId="7FA95753" w14:textId="77777777" w:rsidR="00292092" w:rsidRDefault="00000000">
            <w:r>
              <w:rPr>
                <w:color w:val="000000"/>
                <w:sz w:val="18"/>
                <w:szCs w:val="18"/>
              </w:rPr>
              <w:t>03.09.2026</w:t>
            </w:r>
          </w:p>
        </w:tc>
        <w:tc>
          <w:tcPr>
            <w:tcW w:w="1800" w:type="dxa"/>
            <w:tcMar>
              <w:top w:w="70" w:type="dxa"/>
              <w:left w:w="100" w:type="dxa"/>
              <w:bottom w:w="70" w:type="dxa"/>
              <w:right w:w="100" w:type="dxa"/>
            </w:tcMar>
            <w:vAlign w:val="center"/>
          </w:tcPr>
          <w:p w14:paraId="1E8814B9" w14:textId="77777777" w:rsidR="00292092" w:rsidRDefault="00000000">
            <w:r>
              <w:rPr>
                <w:color w:val="000000"/>
                <w:sz w:val="18"/>
                <w:szCs w:val="18"/>
              </w:rPr>
              <w:t>Analyse</w:t>
            </w:r>
          </w:p>
        </w:tc>
        <w:tc>
          <w:tcPr>
            <w:tcW w:w="4256" w:type="dxa"/>
            <w:tcMar>
              <w:top w:w="70" w:type="dxa"/>
              <w:left w:w="100" w:type="dxa"/>
              <w:bottom w:w="70" w:type="dxa"/>
              <w:right w:w="100" w:type="dxa"/>
            </w:tcMar>
            <w:vAlign w:val="center"/>
          </w:tcPr>
          <w:p w14:paraId="658FC390" w14:textId="77777777" w:rsidR="00292092" w:rsidRDefault="00000000">
            <w:r>
              <w:rPr>
                <w:color w:val="000000"/>
                <w:sz w:val="17"/>
                <w:szCs w:val="17"/>
              </w:rPr>
              <w:t>Finalisation US/tests d'acceptance, maquettes, planification initiale, rédaction introduction</w:t>
            </w:r>
          </w:p>
        </w:tc>
        <w:tc>
          <w:tcPr>
            <w:tcW w:w="1700" w:type="dxa"/>
            <w:tcMar>
              <w:top w:w="70" w:type="dxa"/>
              <w:left w:w="100" w:type="dxa"/>
              <w:bottom w:w="70" w:type="dxa"/>
              <w:right w:w="100" w:type="dxa"/>
            </w:tcMar>
            <w:vAlign w:val="center"/>
          </w:tcPr>
          <w:p w14:paraId="574E5AA8" w14:textId="77777777" w:rsidR="00292092" w:rsidRDefault="00000000">
            <w:r>
              <w:rPr>
                <w:i/>
                <w:iCs/>
                <w:color w:val="000000"/>
                <w:sz w:val="17"/>
                <w:szCs w:val="17"/>
              </w:rPr>
              <w:t>Livraison 1 — 04.09</w:t>
            </w:r>
          </w:p>
        </w:tc>
      </w:tr>
      <w:tr w:rsidR="00292092" w14:paraId="23C5BF8A" w14:textId="77777777">
        <w:tblPrEx>
          <w:tblCellMar>
            <w:top w:w="0" w:type="dxa"/>
            <w:bottom w:w="0" w:type="dxa"/>
          </w:tblCellMar>
        </w:tblPrEx>
        <w:tc>
          <w:tcPr>
            <w:tcW w:w="950" w:type="dxa"/>
            <w:tcMar>
              <w:top w:w="70" w:type="dxa"/>
              <w:left w:w="100" w:type="dxa"/>
              <w:bottom w:w="70" w:type="dxa"/>
              <w:right w:w="100" w:type="dxa"/>
            </w:tcMar>
            <w:vAlign w:val="center"/>
          </w:tcPr>
          <w:p w14:paraId="27605A1E" w14:textId="77777777" w:rsidR="00292092" w:rsidRDefault="00000000">
            <w:pPr>
              <w:jc w:val="center"/>
            </w:pPr>
            <w:r>
              <w:rPr>
                <w:color w:val="000000"/>
                <w:sz w:val="18"/>
                <w:szCs w:val="18"/>
              </w:rPr>
              <w:t>3</w:t>
            </w:r>
          </w:p>
        </w:tc>
        <w:tc>
          <w:tcPr>
            <w:tcW w:w="1500" w:type="dxa"/>
            <w:tcMar>
              <w:top w:w="70" w:type="dxa"/>
              <w:left w:w="100" w:type="dxa"/>
              <w:bottom w:w="70" w:type="dxa"/>
              <w:right w:w="100" w:type="dxa"/>
            </w:tcMar>
            <w:vAlign w:val="center"/>
          </w:tcPr>
          <w:p w14:paraId="366DF78F" w14:textId="77777777" w:rsidR="00292092" w:rsidRDefault="00000000">
            <w:r>
              <w:rPr>
                <w:color w:val="000000"/>
                <w:sz w:val="18"/>
                <w:szCs w:val="18"/>
              </w:rPr>
              <w:t>10.09.2026</w:t>
            </w:r>
          </w:p>
        </w:tc>
        <w:tc>
          <w:tcPr>
            <w:tcW w:w="1800" w:type="dxa"/>
            <w:tcMar>
              <w:top w:w="70" w:type="dxa"/>
              <w:left w:w="100" w:type="dxa"/>
              <w:bottom w:w="70" w:type="dxa"/>
              <w:right w:w="100" w:type="dxa"/>
            </w:tcMar>
            <w:vAlign w:val="center"/>
          </w:tcPr>
          <w:p w14:paraId="33BEE771" w14:textId="77777777" w:rsidR="00292092" w:rsidRDefault="00000000">
            <w:r>
              <w:rPr>
                <w:color w:val="000000"/>
                <w:sz w:val="18"/>
                <w:szCs w:val="18"/>
              </w:rPr>
              <w:t>Développement</w:t>
            </w:r>
          </w:p>
        </w:tc>
        <w:tc>
          <w:tcPr>
            <w:tcW w:w="4256" w:type="dxa"/>
            <w:tcMar>
              <w:top w:w="70" w:type="dxa"/>
              <w:left w:w="100" w:type="dxa"/>
              <w:bottom w:w="70" w:type="dxa"/>
              <w:right w:w="100" w:type="dxa"/>
            </w:tcMar>
            <w:vAlign w:val="center"/>
          </w:tcPr>
          <w:p w14:paraId="3DC1A042" w14:textId="77777777" w:rsidR="00292092" w:rsidRDefault="00000000">
            <w:r>
              <w:rPr>
                <w:color w:val="000000"/>
                <w:sz w:val="17"/>
                <w:szCs w:val="17"/>
              </w:rPr>
              <w:t>Repo GitHub, structure du projet, modèle de données, choix des librairies</w:t>
            </w:r>
          </w:p>
        </w:tc>
        <w:tc>
          <w:tcPr>
            <w:tcW w:w="1700" w:type="dxa"/>
            <w:tcMar>
              <w:top w:w="70" w:type="dxa"/>
              <w:left w:w="100" w:type="dxa"/>
              <w:bottom w:w="70" w:type="dxa"/>
              <w:right w:w="100" w:type="dxa"/>
            </w:tcMar>
            <w:vAlign w:val="center"/>
          </w:tcPr>
          <w:p w14:paraId="482DE562" w14:textId="77777777" w:rsidR="00292092" w:rsidRDefault="00000000">
            <w:r>
              <w:rPr>
                <w:i/>
                <w:iCs/>
                <w:color w:val="000000"/>
                <w:sz w:val="17"/>
                <w:szCs w:val="17"/>
              </w:rPr>
              <w:t>US1 (base)</w:t>
            </w:r>
          </w:p>
        </w:tc>
      </w:tr>
      <w:tr w:rsidR="00292092" w14:paraId="70DA3432" w14:textId="77777777">
        <w:tblPrEx>
          <w:tblCellMar>
            <w:top w:w="0" w:type="dxa"/>
            <w:bottom w:w="0" w:type="dxa"/>
          </w:tblCellMar>
        </w:tblPrEx>
        <w:tc>
          <w:tcPr>
            <w:tcW w:w="950" w:type="dxa"/>
            <w:tcMar>
              <w:top w:w="70" w:type="dxa"/>
              <w:left w:w="100" w:type="dxa"/>
              <w:bottom w:w="70" w:type="dxa"/>
              <w:right w:w="100" w:type="dxa"/>
            </w:tcMar>
            <w:vAlign w:val="center"/>
          </w:tcPr>
          <w:p w14:paraId="7451C9ED" w14:textId="77777777" w:rsidR="00292092" w:rsidRDefault="00000000">
            <w:pPr>
              <w:jc w:val="center"/>
            </w:pPr>
            <w:r>
              <w:rPr>
                <w:color w:val="000000"/>
                <w:sz w:val="18"/>
                <w:szCs w:val="18"/>
              </w:rPr>
              <w:t>4</w:t>
            </w:r>
          </w:p>
        </w:tc>
        <w:tc>
          <w:tcPr>
            <w:tcW w:w="1500" w:type="dxa"/>
            <w:tcMar>
              <w:top w:w="70" w:type="dxa"/>
              <w:left w:w="100" w:type="dxa"/>
              <w:bottom w:w="70" w:type="dxa"/>
              <w:right w:w="100" w:type="dxa"/>
            </w:tcMar>
            <w:vAlign w:val="center"/>
          </w:tcPr>
          <w:p w14:paraId="00BC7D2A" w14:textId="77777777" w:rsidR="00292092" w:rsidRDefault="00000000">
            <w:r>
              <w:rPr>
                <w:color w:val="000000"/>
                <w:sz w:val="18"/>
                <w:szCs w:val="18"/>
              </w:rPr>
              <w:t>17.09.2026</w:t>
            </w:r>
          </w:p>
        </w:tc>
        <w:tc>
          <w:tcPr>
            <w:tcW w:w="1800" w:type="dxa"/>
            <w:tcMar>
              <w:top w:w="70" w:type="dxa"/>
              <w:left w:w="100" w:type="dxa"/>
              <w:bottom w:w="70" w:type="dxa"/>
              <w:right w:w="100" w:type="dxa"/>
            </w:tcMar>
            <w:vAlign w:val="center"/>
          </w:tcPr>
          <w:p w14:paraId="5A1A75AB" w14:textId="77777777" w:rsidR="00292092" w:rsidRDefault="00000000">
            <w:r>
              <w:rPr>
                <w:color w:val="000000"/>
                <w:sz w:val="18"/>
                <w:szCs w:val="18"/>
              </w:rPr>
              <w:t>Développement</w:t>
            </w:r>
          </w:p>
        </w:tc>
        <w:tc>
          <w:tcPr>
            <w:tcW w:w="4256" w:type="dxa"/>
            <w:tcMar>
              <w:top w:w="70" w:type="dxa"/>
              <w:left w:w="100" w:type="dxa"/>
              <w:bottom w:w="70" w:type="dxa"/>
              <w:right w:w="100" w:type="dxa"/>
            </w:tcMar>
            <w:vAlign w:val="center"/>
          </w:tcPr>
          <w:p w14:paraId="442110EA" w14:textId="77777777" w:rsidR="00292092" w:rsidRDefault="00000000">
            <w:r>
              <w:rPr>
                <w:color w:val="000000"/>
                <w:sz w:val="17"/>
                <w:szCs w:val="17"/>
              </w:rPr>
              <w:t>Stockage local, import CSV et JSON</w:t>
            </w:r>
          </w:p>
        </w:tc>
        <w:tc>
          <w:tcPr>
            <w:tcW w:w="1700" w:type="dxa"/>
            <w:tcMar>
              <w:top w:w="70" w:type="dxa"/>
              <w:left w:w="100" w:type="dxa"/>
              <w:bottom w:w="70" w:type="dxa"/>
              <w:right w:w="100" w:type="dxa"/>
            </w:tcMar>
            <w:vAlign w:val="center"/>
          </w:tcPr>
          <w:p w14:paraId="4392C69C" w14:textId="77777777" w:rsidR="00292092" w:rsidRDefault="00000000">
            <w:r>
              <w:rPr>
                <w:i/>
                <w:iCs/>
                <w:color w:val="000000"/>
                <w:sz w:val="17"/>
                <w:szCs w:val="17"/>
              </w:rPr>
              <w:t>US1, US2, US3</w:t>
            </w:r>
          </w:p>
        </w:tc>
      </w:tr>
      <w:tr w:rsidR="00292092" w14:paraId="6193EDF7" w14:textId="77777777">
        <w:tblPrEx>
          <w:tblCellMar>
            <w:top w:w="0" w:type="dxa"/>
            <w:bottom w:w="0" w:type="dxa"/>
          </w:tblCellMar>
        </w:tblPrEx>
        <w:tc>
          <w:tcPr>
            <w:tcW w:w="950" w:type="dxa"/>
            <w:tcMar>
              <w:top w:w="70" w:type="dxa"/>
              <w:left w:w="100" w:type="dxa"/>
              <w:bottom w:w="70" w:type="dxa"/>
              <w:right w:w="100" w:type="dxa"/>
            </w:tcMar>
            <w:vAlign w:val="center"/>
          </w:tcPr>
          <w:p w14:paraId="7E116715" w14:textId="77777777" w:rsidR="00292092" w:rsidRDefault="00000000">
            <w:pPr>
              <w:jc w:val="center"/>
            </w:pPr>
            <w:r>
              <w:rPr>
                <w:color w:val="000000"/>
                <w:sz w:val="18"/>
                <w:szCs w:val="18"/>
              </w:rPr>
              <w:t>5</w:t>
            </w:r>
          </w:p>
        </w:tc>
        <w:tc>
          <w:tcPr>
            <w:tcW w:w="1500" w:type="dxa"/>
            <w:tcMar>
              <w:top w:w="70" w:type="dxa"/>
              <w:left w:w="100" w:type="dxa"/>
              <w:bottom w:w="70" w:type="dxa"/>
              <w:right w:w="100" w:type="dxa"/>
            </w:tcMar>
            <w:vAlign w:val="center"/>
          </w:tcPr>
          <w:p w14:paraId="7CAC99D2" w14:textId="77777777" w:rsidR="00292092" w:rsidRDefault="00000000">
            <w:r>
              <w:rPr>
                <w:color w:val="000000"/>
                <w:sz w:val="18"/>
                <w:szCs w:val="18"/>
              </w:rPr>
              <w:t>24.09.2026</w:t>
            </w:r>
          </w:p>
        </w:tc>
        <w:tc>
          <w:tcPr>
            <w:tcW w:w="1800" w:type="dxa"/>
            <w:tcMar>
              <w:top w:w="70" w:type="dxa"/>
              <w:left w:w="100" w:type="dxa"/>
              <w:bottom w:w="70" w:type="dxa"/>
              <w:right w:w="100" w:type="dxa"/>
            </w:tcMar>
            <w:vAlign w:val="center"/>
          </w:tcPr>
          <w:p w14:paraId="0495FD9C" w14:textId="77777777" w:rsidR="00292092" w:rsidRDefault="00000000">
            <w:r>
              <w:rPr>
                <w:color w:val="000000"/>
                <w:sz w:val="18"/>
                <w:szCs w:val="18"/>
              </w:rPr>
              <w:t>Développement</w:t>
            </w:r>
          </w:p>
        </w:tc>
        <w:tc>
          <w:tcPr>
            <w:tcW w:w="4256" w:type="dxa"/>
            <w:tcMar>
              <w:top w:w="70" w:type="dxa"/>
              <w:left w:w="100" w:type="dxa"/>
              <w:bottom w:w="70" w:type="dxa"/>
              <w:right w:w="100" w:type="dxa"/>
            </w:tcMar>
            <w:vAlign w:val="center"/>
          </w:tcPr>
          <w:p w14:paraId="092F07F1" w14:textId="77777777" w:rsidR="00292092" w:rsidRDefault="00000000">
            <w:r>
              <w:rPr>
                <w:color w:val="000000"/>
                <w:sz w:val="17"/>
                <w:szCs w:val="17"/>
              </w:rPr>
              <w:t>Import via API, consolidation du jeu de données, début de l'UI</w:t>
            </w:r>
          </w:p>
        </w:tc>
        <w:tc>
          <w:tcPr>
            <w:tcW w:w="1700" w:type="dxa"/>
            <w:tcMar>
              <w:top w:w="70" w:type="dxa"/>
              <w:left w:w="100" w:type="dxa"/>
              <w:bottom w:w="70" w:type="dxa"/>
              <w:right w:w="100" w:type="dxa"/>
            </w:tcMar>
            <w:vAlign w:val="center"/>
          </w:tcPr>
          <w:p w14:paraId="6C5059DA" w14:textId="77777777" w:rsidR="00292092" w:rsidRDefault="00000000">
            <w:r>
              <w:rPr>
                <w:i/>
                <w:iCs/>
                <w:color w:val="000000"/>
                <w:sz w:val="17"/>
                <w:szCs w:val="17"/>
              </w:rPr>
              <w:t>US4</w:t>
            </w:r>
          </w:p>
        </w:tc>
      </w:tr>
      <w:tr w:rsidR="00292092" w14:paraId="23B4AA5D" w14:textId="77777777">
        <w:tblPrEx>
          <w:tblCellMar>
            <w:top w:w="0" w:type="dxa"/>
            <w:bottom w:w="0" w:type="dxa"/>
          </w:tblCellMar>
        </w:tblPrEx>
        <w:tc>
          <w:tcPr>
            <w:tcW w:w="950" w:type="dxa"/>
            <w:tcMar>
              <w:top w:w="70" w:type="dxa"/>
              <w:left w:w="100" w:type="dxa"/>
              <w:bottom w:w="70" w:type="dxa"/>
              <w:right w:w="100" w:type="dxa"/>
            </w:tcMar>
            <w:vAlign w:val="center"/>
          </w:tcPr>
          <w:p w14:paraId="031CFA9F" w14:textId="77777777" w:rsidR="00292092" w:rsidRDefault="00000000">
            <w:pPr>
              <w:jc w:val="center"/>
            </w:pPr>
            <w:r>
              <w:rPr>
                <w:color w:val="000000"/>
                <w:sz w:val="18"/>
                <w:szCs w:val="18"/>
              </w:rPr>
              <w:t>6</w:t>
            </w:r>
          </w:p>
        </w:tc>
        <w:tc>
          <w:tcPr>
            <w:tcW w:w="1500" w:type="dxa"/>
            <w:tcMar>
              <w:top w:w="70" w:type="dxa"/>
              <w:left w:w="100" w:type="dxa"/>
              <w:bottom w:w="70" w:type="dxa"/>
              <w:right w:w="100" w:type="dxa"/>
            </w:tcMar>
            <w:vAlign w:val="center"/>
          </w:tcPr>
          <w:p w14:paraId="09C749BB" w14:textId="77777777" w:rsidR="00292092" w:rsidRDefault="00000000">
            <w:r>
              <w:rPr>
                <w:color w:val="000000"/>
                <w:sz w:val="18"/>
                <w:szCs w:val="18"/>
              </w:rPr>
              <w:t>01.10.2026</w:t>
            </w:r>
          </w:p>
        </w:tc>
        <w:tc>
          <w:tcPr>
            <w:tcW w:w="1800" w:type="dxa"/>
            <w:tcMar>
              <w:top w:w="70" w:type="dxa"/>
              <w:left w:w="100" w:type="dxa"/>
              <w:bottom w:w="70" w:type="dxa"/>
              <w:right w:w="100" w:type="dxa"/>
            </w:tcMar>
            <w:vAlign w:val="center"/>
          </w:tcPr>
          <w:p w14:paraId="3D64459B" w14:textId="77777777" w:rsidR="00292092" w:rsidRDefault="00000000">
            <w:r>
              <w:rPr>
                <w:color w:val="000000"/>
                <w:sz w:val="18"/>
                <w:szCs w:val="18"/>
              </w:rPr>
              <w:t>Développement</w:t>
            </w:r>
          </w:p>
        </w:tc>
        <w:tc>
          <w:tcPr>
            <w:tcW w:w="4256" w:type="dxa"/>
            <w:tcMar>
              <w:top w:w="70" w:type="dxa"/>
              <w:left w:w="100" w:type="dxa"/>
              <w:bottom w:w="70" w:type="dxa"/>
              <w:right w:w="100" w:type="dxa"/>
            </w:tcMar>
            <w:vAlign w:val="center"/>
          </w:tcPr>
          <w:p w14:paraId="4ACF1E65" w14:textId="77777777" w:rsidR="00292092" w:rsidRDefault="00000000">
            <w:r>
              <w:rPr>
                <w:color w:val="000000"/>
                <w:sz w:val="17"/>
                <w:szCs w:val="17"/>
              </w:rPr>
              <w:t>Affichage graphique multi-séries</w:t>
            </w:r>
          </w:p>
        </w:tc>
        <w:tc>
          <w:tcPr>
            <w:tcW w:w="1700" w:type="dxa"/>
            <w:tcMar>
              <w:top w:w="70" w:type="dxa"/>
              <w:left w:w="100" w:type="dxa"/>
              <w:bottom w:w="70" w:type="dxa"/>
              <w:right w:w="100" w:type="dxa"/>
            </w:tcMar>
            <w:vAlign w:val="center"/>
          </w:tcPr>
          <w:p w14:paraId="06CDE41C" w14:textId="77777777" w:rsidR="00292092" w:rsidRDefault="00000000">
            <w:r>
              <w:rPr>
                <w:i/>
                <w:iCs/>
                <w:color w:val="000000"/>
                <w:sz w:val="17"/>
                <w:szCs w:val="17"/>
              </w:rPr>
              <w:t>US5</w:t>
            </w:r>
          </w:p>
        </w:tc>
      </w:tr>
      <w:tr w:rsidR="00292092" w14:paraId="2604E9F3" w14:textId="77777777">
        <w:tblPrEx>
          <w:tblCellMar>
            <w:top w:w="0" w:type="dxa"/>
            <w:bottom w:w="0" w:type="dxa"/>
          </w:tblCellMar>
        </w:tblPrEx>
        <w:tc>
          <w:tcPr>
            <w:tcW w:w="950" w:type="dxa"/>
            <w:tcMar>
              <w:top w:w="70" w:type="dxa"/>
              <w:left w:w="100" w:type="dxa"/>
              <w:bottom w:w="70" w:type="dxa"/>
              <w:right w:w="100" w:type="dxa"/>
            </w:tcMar>
            <w:vAlign w:val="center"/>
          </w:tcPr>
          <w:p w14:paraId="64F8815B" w14:textId="77777777" w:rsidR="00292092" w:rsidRDefault="00000000">
            <w:pPr>
              <w:jc w:val="center"/>
            </w:pPr>
            <w:r>
              <w:rPr>
                <w:color w:val="000000"/>
                <w:sz w:val="18"/>
                <w:szCs w:val="18"/>
              </w:rPr>
              <w:t>7</w:t>
            </w:r>
          </w:p>
        </w:tc>
        <w:tc>
          <w:tcPr>
            <w:tcW w:w="1500" w:type="dxa"/>
            <w:tcMar>
              <w:top w:w="70" w:type="dxa"/>
              <w:left w:w="100" w:type="dxa"/>
              <w:bottom w:w="70" w:type="dxa"/>
              <w:right w:w="100" w:type="dxa"/>
            </w:tcMar>
            <w:vAlign w:val="center"/>
          </w:tcPr>
          <w:p w14:paraId="2C877C84" w14:textId="77777777" w:rsidR="00292092" w:rsidRDefault="00000000">
            <w:r>
              <w:rPr>
                <w:color w:val="000000"/>
                <w:sz w:val="18"/>
                <w:szCs w:val="18"/>
              </w:rPr>
              <w:t>08.10.2026</w:t>
            </w:r>
          </w:p>
        </w:tc>
        <w:tc>
          <w:tcPr>
            <w:tcW w:w="1800" w:type="dxa"/>
            <w:tcMar>
              <w:top w:w="70" w:type="dxa"/>
              <w:left w:w="100" w:type="dxa"/>
              <w:bottom w:w="70" w:type="dxa"/>
              <w:right w:w="100" w:type="dxa"/>
            </w:tcMar>
            <w:vAlign w:val="center"/>
          </w:tcPr>
          <w:p w14:paraId="64C0A27A" w14:textId="77777777" w:rsidR="00292092" w:rsidRDefault="00000000">
            <w:r>
              <w:rPr>
                <w:color w:val="000000"/>
                <w:sz w:val="18"/>
                <w:szCs w:val="18"/>
              </w:rPr>
              <w:t>Développement</w:t>
            </w:r>
          </w:p>
        </w:tc>
        <w:tc>
          <w:tcPr>
            <w:tcW w:w="4256" w:type="dxa"/>
            <w:tcMar>
              <w:top w:w="70" w:type="dxa"/>
              <w:left w:w="100" w:type="dxa"/>
              <w:bottom w:w="70" w:type="dxa"/>
              <w:right w:w="100" w:type="dxa"/>
            </w:tcMar>
            <w:vAlign w:val="center"/>
          </w:tcPr>
          <w:p w14:paraId="4D2609F2" w14:textId="77777777" w:rsidR="00292092" w:rsidRDefault="00000000">
            <w:r>
              <w:rPr>
                <w:color w:val="000000"/>
                <w:sz w:val="17"/>
                <w:szCs w:val="17"/>
              </w:rPr>
              <w:t>Flexibilité d'affichage, extensions C#</w:t>
            </w:r>
          </w:p>
        </w:tc>
        <w:tc>
          <w:tcPr>
            <w:tcW w:w="1700" w:type="dxa"/>
            <w:tcMar>
              <w:top w:w="70" w:type="dxa"/>
              <w:left w:w="100" w:type="dxa"/>
              <w:bottom w:w="70" w:type="dxa"/>
              <w:right w:w="100" w:type="dxa"/>
            </w:tcMar>
            <w:vAlign w:val="center"/>
          </w:tcPr>
          <w:p w14:paraId="47586AC5" w14:textId="77777777" w:rsidR="00292092" w:rsidRDefault="00000000">
            <w:r>
              <w:rPr>
                <w:i/>
                <w:iCs/>
                <w:color w:val="000000"/>
                <w:sz w:val="17"/>
                <w:szCs w:val="17"/>
              </w:rPr>
              <w:t>US6</w:t>
            </w:r>
          </w:p>
        </w:tc>
      </w:tr>
      <w:tr w:rsidR="00292092" w14:paraId="23B71D03" w14:textId="77777777">
        <w:tblPrEx>
          <w:tblCellMar>
            <w:top w:w="0" w:type="dxa"/>
            <w:bottom w:w="0" w:type="dxa"/>
          </w:tblCellMar>
        </w:tblPrEx>
        <w:tc>
          <w:tcPr>
            <w:tcW w:w="950" w:type="dxa"/>
            <w:tcMar>
              <w:top w:w="70" w:type="dxa"/>
              <w:left w:w="100" w:type="dxa"/>
              <w:bottom w:w="70" w:type="dxa"/>
              <w:right w:w="100" w:type="dxa"/>
            </w:tcMar>
            <w:vAlign w:val="center"/>
          </w:tcPr>
          <w:p w14:paraId="258FD5B6" w14:textId="77777777" w:rsidR="00292092" w:rsidRDefault="00000000">
            <w:pPr>
              <w:jc w:val="center"/>
            </w:pPr>
            <w:r>
              <w:rPr>
                <w:color w:val="000000"/>
                <w:sz w:val="18"/>
                <w:szCs w:val="18"/>
              </w:rPr>
              <w:t>8</w:t>
            </w:r>
          </w:p>
        </w:tc>
        <w:tc>
          <w:tcPr>
            <w:tcW w:w="1500" w:type="dxa"/>
            <w:tcMar>
              <w:top w:w="70" w:type="dxa"/>
              <w:left w:w="100" w:type="dxa"/>
              <w:bottom w:w="70" w:type="dxa"/>
              <w:right w:w="100" w:type="dxa"/>
            </w:tcMar>
            <w:vAlign w:val="center"/>
          </w:tcPr>
          <w:p w14:paraId="1A067711" w14:textId="77777777" w:rsidR="00292092" w:rsidRDefault="00000000">
            <w:r>
              <w:rPr>
                <w:color w:val="000000"/>
                <w:sz w:val="18"/>
                <w:szCs w:val="18"/>
              </w:rPr>
              <w:t>15.10.2026</w:t>
            </w:r>
          </w:p>
        </w:tc>
        <w:tc>
          <w:tcPr>
            <w:tcW w:w="1800" w:type="dxa"/>
            <w:tcMar>
              <w:top w:w="70" w:type="dxa"/>
              <w:left w:w="100" w:type="dxa"/>
              <w:bottom w:w="70" w:type="dxa"/>
              <w:right w:w="100" w:type="dxa"/>
            </w:tcMar>
            <w:vAlign w:val="center"/>
          </w:tcPr>
          <w:p w14:paraId="051299C0" w14:textId="77777777" w:rsidR="00292092" w:rsidRDefault="00000000">
            <w:r>
              <w:rPr>
                <w:color w:val="000000"/>
                <w:sz w:val="18"/>
                <w:szCs w:val="18"/>
              </w:rPr>
              <w:t>Développement</w:t>
            </w:r>
          </w:p>
        </w:tc>
        <w:tc>
          <w:tcPr>
            <w:tcW w:w="4256" w:type="dxa"/>
            <w:tcMar>
              <w:top w:w="70" w:type="dxa"/>
              <w:left w:w="100" w:type="dxa"/>
              <w:bottom w:w="70" w:type="dxa"/>
              <w:right w:w="100" w:type="dxa"/>
            </w:tcMar>
            <w:vAlign w:val="center"/>
          </w:tcPr>
          <w:p w14:paraId="35A114AC" w14:textId="77777777" w:rsidR="00292092" w:rsidRDefault="00000000">
            <w:r>
              <w:rPr>
                <w:color w:val="000000"/>
                <w:sz w:val="17"/>
                <w:szCs w:val="17"/>
              </w:rPr>
              <w:t>Tests unitaires, consolidation, nettoyage du code</w:t>
            </w:r>
          </w:p>
        </w:tc>
        <w:tc>
          <w:tcPr>
            <w:tcW w:w="1700" w:type="dxa"/>
            <w:tcMar>
              <w:top w:w="70" w:type="dxa"/>
              <w:left w:w="100" w:type="dxa"/>
              <w:bottom w:w="70" w:type="dxa"/>
              <w:right w:w="100" w:type="dxa"/>
            </w:tcMar>
            <w:vAlign w:val="center"/>
          </w:tcPr>
          <w:p w14:paraId="7FA2CD9E" w14:textId="77777777" w:rsidR="00292092" w:rsidRDefault="00000000">
            <w:r>
              <w:rPr>
                <w:i/>
                <w:iCs/>
                <w:color w:val="000000"/>
                <w:sz w:val="17"/>
                <w:szCs w:val="17"/>
              </w:rPr>
              <w:t>Qualité</w:t>
            </w:r>
          </w:p>
        </w:tc>
      </w:tr>
      <w:tr w:rsidR="00292092" w14:paraId="7C1B1C6B" w14:textId="77777777">
        <w:tblPrEx>
          <w:tblCellMar>
            <w:top w:w="0" w:type="dxa"/>
            <w:bottom w:w="0" w:type="dxa"/>
          </w:tblCellMar>
        </w:tblPrEx>
        <w:tc>
          <w:tcPr>
            <w:tcW w:w="950" w:type="dxa"/>
            <w:tcMar>
              <w:top w:w="70" w:type="dxa"/>
              <w:left w:w="100" w:type="dxa"/>
              <w:bottom w:w="70" w:type="dxa"/>
              <w:right w:w="100" w:type="dxa"/>
            </w:tcMar>
            <w:vAlign w:val="center"/>
          </w:tcPr>
          <w:p w14:paraId="42E0C43F" w14:textId="77777777" w:rsidR="00292092" w:rsidRDefault="00000000">
            <w:pPr>
              <w:jc w:val="center"/>
            </w:pPr>
            <w:r>
              <w:rPr>
                <w:color w:val="000000"/>
                <w:sz w:val="18"/>
                <w:szCs w:val="18"/>
              </w:rPr>
              <w:t>9</w:t>
            </w:r>
          </w:p>
        </w:tc>
        <w:tc>
          <w:tcPr>
            <w:tcW w:w="1500" w:type="dxa"/>
            <w:tcMar>
              <w:top w:w="70" w:type="dxa"/>
              <w:left w:w="100" w:type="dxa"/>
              <w:bottom w:w="70" w:type="dxa"/>
              <w:right w:w="100" w:type="dxa"/>
            </w:tcMar>
            <w:vAlign w:val="center"/>
          </w:tcPr>
          <w:p w14:paraId="43D57BA7" w14:textId="77777777" w:rsidR="00292092" w:rsidRDefault="00000000">
            <w:r>
              <w:rPr>
                <w:color w:val="000000"/>
                <w:sz w:val="18"/>
                <w:szCs w:val="18"/>
              </w:rPr>
              <w:t>22.10.2026</w:t>
            </w:r>
          </w:p>
        </w:tc>
        <w:tc>
          <w:tcPr>
            <w:tcW w:w="1800" w:type="dxa"/>
            <w:tcMar>
              <w:top w:w="70" w:type="dxa"/>
              <w:left w:w="100" w:type="dxa"/>
              <w:bottom w:w="70" w:type="dxa"/>
              <w:right w:w="100" w:type="dxa"/>
            </w:tcMar>
            <w:vAlign w:val="center"/>
          </w:tcPr>
          <w:p w14:paraId="6FF59C8B" w14:textId="77777777" w:rsidR="00292092" w:rsidRDefault="00000000">
            <w:r>
              <w:rPr>
                <w:color w:val="000000"/>
                <w:sz w:val="18"/>
                <w:szCs w:val="18"/>
              </w:rPr>
              <w:t>Rédaction</w:t>
            </w:r>
          </w:p>
        </w:tc>
        <w:tc>
          <w:tcPr>
            <w:tcW w:w="4256" w:type="dxa"/>
            <w:tcMar>
              <w:top w:w="70" w:type="dxa"/>
              <w:left w:w="100" w:type="dxa"/>
              <w:bottom w:w="70" w:type="dxa"/>
              <w:right w:w="100" w:type="dxa"/>
            </w:tcMar>
            <w:vAlign w:val="center"/>
          </w:tcPr>
          <w:p w14:paraId="3C836965" w14:textId="77777777" w:rsidR="00292092" w:rsidRDefault="00000000">
            <w:r>
              <w:rPr>
                <w:color w:val="000000"/>
                <w:sz w:val="17"/>
                <w:szCs w:val="17"/>
              </w:rPr>
              <w:t>Rapport de tests, chapitre IA, bilans, conclusion</w:t>
            </w:r>
          </w:p>
        </w:tc>
        <w:tc>
          <w:tcPr>
            <w:tcW w:w="1700" w:type="dxa"/>
            <w:tcMar>
              <w:top w:w="70" w:type="dxa"/>
              <w:left w:w="100" w:type="dxa"/>
              <w:bottom w:w="70" w:type="dxa"/>
              <w:right w:w="100" w:type="dxa"/>
            </w:tcMar>
            <w:vAlign w:val="center"/>
          </w:tcPr>
          <w:p w14:paraId="186F2CEC" w14:textId="77777777" w:rsidR="00292092" w:rsidRDefault="00000000">
            <w:r>
              <w:rPr>
                <w:color w:val="000000"/>
                <w:sz w:val="17"/>
                <w:szCs w:val="17"/>
              </w:rPr>
              <w:t>—</w:t>
            </w:r>
          </w:p>
        </w:tc>
      </w:tr>
      <w:tr w:rsidR="00292092" w14:paraId="4A59491D" w14:textId="77777777">
        <w:tblPrEx>
          <w:tblCellMar>
            <w:top w:w="0" w:type="dxa"/>
            <w:bottom w:w="0" w:type="dxa"/>
          </w:tblCellMar>
        </w:tblPrEx>
        <w:tc>
          <w:tcPr>
            <w:tcW w:w="950" w:type="dxa"/>
            <w:tcMar>
              <w:top w:w="70" w:type="dxa"/>
              <w:left w:w="100" w:type="dxa"/>
              <w:bottom w:w="70" w:type="dxa"/>
              <w:right w:w="100" w:type="dxa"/>
            </w:tcMar>
            <w:vAlign w:val="center"/>
          </w:tcPr>
          <w:p w14:paraId="371E2809" w14:textId="77777777" w:rsidR="00292092" w:rsidRDefault="00000000">
            <w:pPr>
              <w:jc w:val="center"/>
            </w:pPr>
            <w:r>
              <w:rPr>
                <w:color w:val="000000"/>
                <w:sz w:val="18"/>
                <w:szCs w:val="18"/>
              </w:rPr>
              <w:t>10</w:t>
            </w:r>
          </w:p>
        </w:tc>
        <w:tc>
          <w:tcPr>
            <w:tcW w:w="1500" w:type="dxa"/>
            <w:tcMar>
              <w:top w:w="70" w:type="dxa"/>
              <w:left w:w="100" w:type="dxa"/>
              <w:bottom w:w="70" w:type="dxa"/>
              <w:right w:w="100" w:type="dxa"/>
            </w:tcMar>
            <w:vAlign w:val="center"/>
          </w:tcPr>
          <w:p w14:paraId="1AF2C228" w14:textId="77777777" w:rsidR="00292092" w:rsidRDefault="00000000">
            <w:r>
              <w:rPr>
                <w:color w:val="000000"/>
                <w:sz w:val="18"/>
                <w:szCs w:val="18"/>
              </w:rPr>
              <w:t>29.10.2026</w:t>
            </w:r>
          </w:p>
        </w:tc>
        <w:tc>
          <w:tcPr>
            <w:tcW w:w="1800" w:type="dxa"/>
            <w:tcMar>
              <w:top w:w="70" w:type="dxa"/>
              <w:left w:w="100" w:type="dxa"/>
              <w:bottom w:w="70" w:type="dxa"/>
              <w:right w:w="100" w:type="dxa"/>
            </w:tcMar>
            <w:vAlign w:val="center"/>
          </w:tcPr>
          <w:p w14:paraId="6E0F26AF" w14:textId="77777777" w:rsidR="00292092" w:rsidRDefault="00000000">
            <w:r>
              <w:rPr>
                <w:color w:val="000000"/>
                <w:sz w:val="18"/>
                <w:szCs w:val="18"/>
              </w:rPr>
              <w:t>Finalisation</w:t>
            </w:r>
          </w:p>
        </w:tc>
        <w:tc>
          <w:tcPr>
            <w:tcW w:w="4256" w:type="dxa"/>
            <w:tcMar>
              <w:top w:w="70" w:type="dxa"/>
              <w:left w:w="100" w:type="dxa"/>
              <w:bottom w:w="70" w:type="dxa"/>
              <w:right w:w="100" w:type="dxa"/>
            </w:tcMar>
            <w:vAlign w:val="center"/>
          </w:tcPr>
          <w:p w14:paraId="564C0394" w14:textId="77777777" w:rsidR="00292092" w:rsidRDefault="00000000">
            <w:r>
              <w:rPr>
                <w:color w:val="000000"/>
                <w:sz w:val="17"/>
                <w:szCs w:val="17"/>
              </w:rPr>
              <w:t>Corrections finales, complétude du dépôt, release GitHub</w:t>
            </w:r>
          </w:p>
        </w:tc>
        <w:tc>
          <w:tcPr>
            <w:tcW w:w="1700" w:type="dxa"/>
            <w:tcMar>
              <w:top w:w="70" w:type="dxa"/>
              <w:left w:w="100" w:type="dxa"/>
              <w:bottom w:w="70" w:type="dxa"/>
              <w:right w:w="100" w:type="dxa"/>
            </w:tcMar>
            <w:vAlign w:val="center"/>
          </w:tcPr>
          <w:p w14:paraId="3D323648" w14:textId="77777777" w:rsidR="00292092" w:rsidRDefault="00000000">
            <w:r>
              <w:rPr>
                <w:i/>
                <w:iCs/>
                <w:color w:val="000000"/>
                <w:sz w:val="17"/>
                <w:szCs w:val="17"/>
              </w:rPr>
              <w:t>Livraison finale — 30.10</w:t>
            </w:r>
          </w:p>
        </w:tc>
      </w:tr>
    </w:tbl>
    <w:p w14:paraId="5E56B905" w14:textId="77777777" w:rsidR="00292092" w:rsidRDefault="00292092">
      <w:pPr>
        <w:spacing w:after="120"/>
      </w:pPr>
    </w:p>
    <w:p w14:paraId="4004ECB4" w14:textId="77777777" w:rsidR="00292092" w:rsidRDefault="00000000">
      <w:pPr>
        <w:pStyle w:val="Titre2"/>
        <w:spacing w:before="220" w:after="110"/>
      </w:pPr>
      <w:r>
        <w:rPr>
          <w:b/>
          <w:bCs/>
          <w:sz w:val="24"/>
          <w:szCs w:val="24"/>
        </w:rPr>
        <w:t>Jalons</w:t>
      </w:r>
    </w:p>
    <w:p w14:paraId="17F980D9" w14:textId="77777777" w:rsidR="00292092" w:rsidRDefault="00000000">
      <w:pPr>
        <w:pStyle w:val="Paragraphedeliste"/>
        <w:numPr>
          <w:ilvl w:val="0"/>
          <w:numId w:val="2"/>
        </w:numPr>
        <w:spacing w:after="50"/>
      </w:pPr>
      <w:r>
        <w:t>Vendredi 4 septembre 2026 : Livraison 1 — introduction, analyse fonctionnelle, planification initiale (présent rapport)</w:t>
      </w:r>
    </w:p>
    <w:p w14:paraId="59D0B4EF" w14:textId="77777777" w:rsidR="00292092" w:rsidRDefault="00000000">
      <w:pPr>
        <w:pStyle w:val="Paragraphedeliste"/>
        <w:numPr>
          <w:ilvl w:val="0"/>
          <w:numId w:val="2"/>
        </w:numPr>
        <w:spacing w:after="50"/>
      </w:pPr>
      <w:r>
        <w:t>Vendredi 30 octobre 2026 : Livraison finale — release GitHub avec code, rapport complet et journal de travail</w:t>
      </w:r>
    </w:p>
    <w:p w14:paraId="36BA2631" w14:textId="77777777" w:rsidR="00292092" w:rsidRDefault="00292092">
      <w:pPr>
        <w:spacing w:after="120"/>
      </w:pPr>
    </w:p>
    <w:p w14:paraId="1E57F8D3" w14:textId="77777777" w:rsidR="00292092" w:rsidRDefault="00000000">
      <w:pPr>
        <w:spacing w:after="120"/>
      </w:pPr>
      <w:r>
        <w:rPr>
          <w:i/>
          <w:iCs/>
          <w:color w:val="595959"/>
          <w:sz w:val="18"/>
          <w:szCs w:val="18"/>
        </w:rPr>
        <w:t>Cette planification initiale sera affinée au fil du projet en fonction de l'avancement réel et des retours du chef de projet ; le détail séance par séance figure dans le document de planification transmis séparément.</w:t>
      </w:r>
    </w:p>
    <w:sectPr w:rsidR="00292092">
      <w:pgSz w:w="11906" w:h="16838"/>
      <w:pgMar w:top="850" w:right="850" w:bottom="85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830BA"/>
    <w:multiLevelType w:val="hybridMultilevel"/>
    <w:tmpl w:val="2982B534"/>
    <w:lvl w:ilvl="0" w:tplc="283CF998">
      <w:start w:val="1"/>
      <w:numFmt w:val="bullet"/>
      <w:lvlText w:val="•"/>
      <w:lvlJc w:val="left"/>
      <w:pPr>
        <w:ind w:left="260" w:hanging="200"/>
      </w:pPr>
    </w:lvl>
    <w:lvl w:ilvl="1" w:tplc="021A0126">
      <w:numFmt w:val="decimal"/>
      <w:lvlText w:val=""/>
      <w:lvlJc w:val="left"/>
    </w:lvl>
    <w:lvl w:ilvl="2" w:tplc="8B0E2E76">
      <w:numFmt w:val="decimal"/>
      <w:lvlText w:val=""/>
      <w:lvlJc w:val="left"/>
    </w:lvl>
    <w:lvl w:ilvl="3" w:tplc="BA0AB6B0">
      <w:numFmt w:val="decimal"/>
      <w:lvlText w:val=""/>
      <w:lvlJc w:val="left"/>
    </w:lvl>
    <w:lvl w:ilvl="4" w:tplc="072A0ED8">
      <w:numFmt w:val="decimal"/>
      <w:lvlText w:val=""/>
      <w:lvlJc w:val="left"/>
    </w:lvl>
    <w:lvl w:ilvl="5" w:tplc="F4BA3C54">
      <w:numFmt w:val="decimal"/>
      <w:lvlText w:val=""/>
      <w:lvlJc w:val="left"/>
    </w:lvl>
    <w:lvl w:ilvl="6" w:tplc="ADCCEB4A">
      <w:numFmt w:val="decimal"/>
      <w:lvlText w:val=""/>
      <w:lvlJc w:val="left"/>
    </w:lvl>
    <w:lvl w:ilvl="7" w:tplc="0DA60186">
      <w:numFmt w:val="decimal"/>
      <w:lvlText w:val=""/>
      <w:lvlJc w:val="left"/>
    </w:lvl>
    <w:lvl w:ilvl="8" w:tplc="AD04F41E">
      <w:numFmt w:val="decimal"/>
      <w:lvlText w:val=""/>
      <w:lvlJc w:val="left"/>
    </w:lvl>
  </w:abstractNum>
  <w:abstractNum w:abstractNumId="1" w15:restartNumberingAfterBreak="0">
    <w:nsid w:val="78F11353"/>
    <w:multiLevelType w:val="hybridMultilevel"/>
    <w:tmpl w:val="4B1AA4D2"/>
    <w:lvl w:ilvl="0" w:tplc="A46EB8BE">
      <w:start w:val="1"/>
      <w:numFmt w:val="bullet"/>
      <w:lvlText w:val="●"/>
      <w:lvlJc w:val="left"/>
      <w:pPr>
        <w:ind w:left="720" w:hanging="360"/>
      </w:pPr>
    </w:lvl>
    <w:lvl w:ilvl="1" w:tplc="C206F84A">
      <w:start w:val="1"/>
      <w:numFmt w:val="bullet"/>
      <w:lvlText w:val="○"/>
      <w:lvlJc w:val="left"/>
      <w:pPr>
        <w:ind w:left="1440" w:hanging="360"/>
      </w:pPr>
    </w:lvl>
    <w:lvl w:ilvl="2" w:tplc="BB9E5334">
      <w:start w:val="1"/>
      <w:numFmt w:val="bullet"/>
      <w:lvlText w:val="■"/>
      <w:lvlJc w:val="left"/>
      <w:pPr>
        <w:ind w:left="2160" w:hanging="360"/>
      </w:pPr>
    </w:lvl>
    <w:lvl w:ilvl="3" w:tplc="6D7A7788">
      <w:start w:val="1"/>
      <w:numFmt w:val="bullet"/>
      <w:lvlText w:val="●"/>
      <w:lvlJc w:val="left"/>
      <w:pPr>
        <w:ind w:left="2880" w:hanging="360"/>
      </w:pPr>
    </w:lvl>
    <w:lvl w:ilvl="4" w:tplc="3808180C">
      <w:start w:val="1"/>
      <w:numFmt w:val="bullet"/>
      <w:lvlText w:val="○"/>
      <w:lvlJc w:val="left"/>
      <w:pPr>
        <w:ind w:left="3600" w:hanging="360"/>
      </w:pPr>
    </w:lvl>
    <w:lvl w:ilvl="5" w:tplc="04EE713C">
      <w:start w:val="1"/>
      <w:numFmt w:val="bullet"/>
      <w:lvlText w:val="■"/>
      <w:lvlJc w:val="left"/>
      <w:pPr>
        <w:ind w:left="4320" w:hanging="360"/>
      </w:pPr>
    </w:lvl>
    <w:lvl w:ilvl="6" w:tplc="998AB028">
      <w:start w:val="1"/>
      <w:numFmt w:val="bullet"/>
      <w:lvlText w:val="●"/>
      <w:lvlJc w:val="left"/>
      <w:pPr>
        <w:ind w:left="5040" w:hanging="360"/>
      </w:pPr>
    </w:lvl>
    <w:lvl w:ilvl="7" w:tplc="93D027C4">
      <w:start w:val="1"/>
      <w:numFmt w:val="bullet"/>
      <w:lvlText w:val="●"/>
      <w:lvlJc w:val="left"/>
      <w:pPr>
        <w:ind w:left="5760" w:hanging="360"/>
      </w:pPr>
    </w:lvl>
    <w:lvl w:ilvl="8" w:tplc="004CAD72">
      <w:start w:val="1"/>
      <w:numFmt w:val="bullet"/>
      <w:lvlText w:val="●"/>
      <w:lvlJc w:val="left"/>
      <w:pPr>
        <w:ind w:left="6480" w:hanging="360"/>
      </w:pPr>
    </w:lvl>
  </w:abstractNum>
  <w:num w:numId="1" w16cid:durableId="821970493">
    <w:abstractNumId w:val="1"/>
    <w:lvlOverride w:ilvl="0">
      <w:startOverride w:val="1"/>
    </w:lvlOverride>
  </w:num>
  <w:num w:numId="2" w16cid:durableId="1633369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092"/>
    <w:rsid w:val="00292092"/>
    <w:rsid w:val="00BE0E7E"/>
    <w:rsid w:val="00C20C01"/>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32D8A"/>
  <w15:docId w15:val="{E257E233-62EF-4B11-BE29-6ABBC3F98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1453</Words>
  <Characters>7997</Characters>
  <Application>Microsoft Office Word</Application>
  <DocSecurity>0</DocSecurity>
  <Lines>66</Lines>
  <Paragraphs>18</Paragraphs>
  <ScaleCrop>false</ScaleCrop>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Thibaud Blasco Dias</cp:lastModifiedBy>
  <cp:revision>1</cp:revision>
  <dcterms:created xsi:type="dcterms:W3CDTF">2026-09-03T07:06:00Z</dcterms:created>
  <dcterms:modified xsi:type="dcterms:W3CDTF">2026-09-03T07:09:00Z</dcterms:modified>
</cp:coreProperties>
</file>