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EPL trading-strategy metrics supplement — draft for review</w:t>
      </w:r>
    </w:p>
    <w:p>
      <w:r>
        <w:t>October 14, 2026 | Companion to the unchanged seven-page EPL project draft. Historical archived-price analytics; no model refitting or new strategy selection.</w:t>
      </w:r>
    </w:p>
    <w:p>
      <w:r>
        <w:t>This supplement exposes requested trade outcomes, forecast-implied expectations, activity and bankroll risk. The complete workbook/CSV retains 172 strategy-period rows, including validation, test, historical monitoring, individual ablation seasons, pooled ablation summaries and tuning diagnostics. The displayed tables include all 16 locked-test strategies and all 22 pooled ablation variants/staking rules; cash policies are retained.</w:t>
      </w:r>
    </w:p>
    <w:p>
      <w:r>
        <w:t>For stake s, forecast win probability p and decimal odds O, expected gain is s·p·(O−1), expected loss is s·(1−p), and expected net P&amp;L is s·(pO−1). Gain/loss expectations are probability-weighted positive/negative P&amp;L components, distinct from realised conditional winning/losing payoffs. Per-trade components divide totals by trades. They condition on actual allocated stakes, including the realised bankroll-dependent Kelly path; they are not unconditional predicted terminal wealth or verified true expectations.</w:t>
      </w:r>
    </w:p>
    <w:p>
      <w:r>
        <w:t>Hit ratio is winning bets divided by settled bets. Trading frequency divides bets by matched fixtures with valid prices; the workbook also gives bets divided by all predicted fixtures, active-date fraction and bets per calendar week. Missing quotes must be distinguished from abstention. Classification accuracy is a separate H/D/A metric and cannot substitute for trade hit ratio.</w:t>
      </w:r>
    </w:p>
    <w:p>
      <w:r>
        <w:t>ROI is net profit divided by turnover. Capital return divides profit by the sum of episode initial capital. Profit factor compares total gains with total losses; payoff ratio compares average winning gain with average losing loss. Drawdown is measured at date close, including initial capital. Pooled ablation capital resets remain separate: cash totals may be added, but the displayed pooled drawdown is the worst episode, not a continuous investment track record.</w:t>
      </w:r>
    </w:p>
    <w:p>
      <w:r>
        <w:t>A dash means undefined or unavailable. A cash policy can have zero profit, turnover and trade frequency while its hit ratio, ROI and per-trade averages remain undefined. Genuine positive infinity is displayed explicitly for profit factor when gains exist and losses do not. Pending forecasts supply no settled hit rate or trading profit.</w:t>
      </w:r>
    </w:p>
    <w:p>
      <w:r>
        <w:t>95% hit-ratio/ROI intervals use 1,000 whole-match-date bootstrap draws; pooled draws stratify by season. They condition on recorded wagers and fitted predictions, omit fitting/selection uncertainty and lack multiplicity adjustment. New interpolated-percentile intervals can differ from original noninterpolating bounds; original outputs remain unchanged. The strictly positive qualification rule pO−1&gt;0.05 builds positive model-implied expected ROI into the fixed 5% policy; this is not independent evidence of an edge.</w:t>
      </w:r>
    </w:p>
    <w:p>
      <w:r>
        <w:t>For example, the calibration branch's best-book fixed policy wins 90 of 333 trades (27.03%), with mean winning gain 27.15 and mean losing loss 10.00 units. Model-implied net expectancy is 6.0859 units/trade (60.86% expected ROI), versus realised 0.0411 units/trade (0.41% ROI). These are different quantities.</w:t>
      </w:r>
    </w:p>
    <w:p>
      <w:pPr>
        <w:sectPr>
          <w:headerReference w:type="default" r:id="rId9"/>
          <w:footerReference w:type="default" r:id="rId10"/>
          <w:pgSz w:w="12240" w:h="15840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First study: complete locked-test trade metrics</w:t>
      </w:r>
    </w:p>
    <w:p>
      <w:r>
        <w:t>2025/26: the primary validation-selected policy and separately declared 5% policy remain distinct. Gain/loss/expectancy columns use bankroll units; hit and frequency use percentages.</w:t>
      </w:r>
    </w:p>
    <w:p>
      <w:pPr>
        <w:spacing w:line="200" w:lineRule="exact" w:after="80"/>
      </w:pPr>
      <w:r>
        <w:rPr>
          <w:i/>
          <w:sz w:val="17"/>
        </w:rPr>
        <w:t>Table S1. Every locked-test strategy. Hit bounds are conditional 95% intervals; frequency uses matched valid prices. Expected components use recorded actual stakes.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92"/>
        <w:gridCol w:w="1872"/>
        <w:gridCol w:w="1080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Trades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Hit %</w:t>
              <w:br/>
              <w:t>[95% CI]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Trade</w:t>
              <w:br/>
              <w:t>freq. %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Avg. win</w:t>
              <w:br/>
              <w:t>gain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Avg. loss</w:t>
              <w:br/>
              <w:t>size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Expected</w:t>
              <w:br/>
              <w:t>gain/trade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Expected</w:t>
              <w:br/>
              <w:t>loss/trade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Expected</w:t>
              <w:br/>
              <w:t>net/trade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Realised</w:t>
              <w:br/>
              <w:t>net/trade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Fixed 5%</w:t>
              <w:br/>
              <w:t>Best book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371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26.68</w:t>
              <w:br/>
              <w:t>[22.86, 30.77]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99.20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26.63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11.74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6.31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5.42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−0.22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Fixed 5%</w:t>
              <w:br/>
              <w:t>Best book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371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26.68</w:t>
              <w:br/>
              <w:t>[22.86, 30.77]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99.20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36.53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14.68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17.48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9.05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8.43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−1.02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Fixed 5%</w:t>
              <w:br/>
              <w:t>Bet365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365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26.85</w:t>
              <w:br/>
              <w:t>[23.14, 30.94]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97.59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25.34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10.87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6.25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4.62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−0.51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Fixed 5%</w:t>
              <w:br/>
              <w:t>Bet365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365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26.85</w:t>
              <w:br/>
              <w:t>[23.14, 30.94]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97.59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33.69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13.99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15.45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8.55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6.90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−1.19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Fixed 5%</w:t>
              <w:br/>
              <w:t>Best book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333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27.03</w:t>
              <w:br/>
              <w:t>[22.32, 32.12]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89.04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27.15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12.40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6.32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6.09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0.04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Fixed 5%</w:t>
              <w:br/>
              <w:t>Best book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333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27.03</w:t>
              <w:br/>
              <w:t>[22.32, 32.12]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89.04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46.73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17.94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22.95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11.08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11.88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−0.46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Fixed 5%</w:t>
              <w:br/>
              <w:t>Bet365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314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27.71</w:t>
              <w:br/>
              <w:t>[22.71, 32.92]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83.96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25.82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11.61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6.29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5.32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−0.07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Fixed 5%</w:t>
              <w:br/>
              <w:t>Bet365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314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27.71</w:t>
              <w:br/>
              <w:t>[22.71, 32.92]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83.96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44.11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17.66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21.02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10.84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10.18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−0.54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Primary</w:t>
              <w:br/>
              <w:t>Best book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Primary</w:t>
              <w:br/>
              <w:t>Best book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Primary</w:t>
              <w:br/>
              <w:t>Bet365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Primary</w:t>
              <w:br/>
              <w:t>Bet365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Primary</w:t>
              <w:br/>
              <w:t>Best book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Primary</w:t>
              <w:br/>
              <w:t>Best book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Primary</w:t>
              <w:br/>
              <w:t>Bet365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Primary</w:t>
              <w:br/>
              <w:t>Bet365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First study: complete locked-test return and risk metrics</w:t>
      </w:r>
    </w:p>
    <w:p>
      <w:r>
        <w:t>Cash policies remain in the table. ROI measures return per unit staked; capital return measures profit relative to initial bankroll, so the two percentages answer different questions.</w:t>
      </w:r>
    </w:p>
    <w:p>
      <w:pPr>
        <w:spacing w:line="200" w:lineRule="exact" w:after="80"/>
      </w:pPr>
      <w:r>
        <w:rPr>
          <w:i/>
          <w:sz w:val="17"/>
        </w:rPr>
        <w:t>Table S2. Same strategies and period as S1. Conditional bounds resample observed dates; undefined cash-policy ROI remains a dash.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296"/>
        <w:gridCol w:w="1440"/>
        <w:gridCol w:w="864"/>
        <w:gridCol w:w="1872"/>
        <w:gridCol w:w="1080"/>
        <w:gridCol w:w="1080"/>
        <w:gridCol w:w="1080"/>
        <w:gridCol w:w="1008"/>
        <w:gridCol w:w="1080"/>
      </w:tblGrid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Net profit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Turnover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ROI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95% ROI CI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Expected</w:t>
              <w:br/>
              <w:t>ROI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Profit</w:t>
              <w:br/>
              <w:t>factor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Payoff</w:t>
              <w:br/>
              <w:t>ratio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Max.</w:t>
              <w:br/>
              <w:t>drawdown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Capital</w:t>
              <w:br/>
              <w:t>return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Fixed 5%</w:t>
              <w:br/>
              <w:t>Best book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−83.30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3,710.00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−2.25%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[−18.84%, 15.46%]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54.22%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0.97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2.66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27.74%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−8.33%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Fixed 5%</w:t>
              <w:br/>
              <w:t>Best book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−377.05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5,376.77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−7.01%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[−23.18%, 11.93%]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58.16%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0.91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2.49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49.95%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−37.70%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Fixed 5%</w:t>
              <w:br/>
              <w:t>Bet365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−186.70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3,650.00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−5.12%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[−20.25%, 11.16%]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46.20%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0.93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2.53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28.60%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−18.67%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Fixed 5%</w:t>
              <w:br/>
              <w:t>Bet365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−433.14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5,055.80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−8.57%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[−23.64%, 8.81%]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49.84%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0.88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2.41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51.21%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−43.31%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Fixed 5%</w:t>
              <w:br/>
              <w:t>Best book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13.70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3,330.00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0.41%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[−20.09%, 22.07%]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60.86%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1.01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2.72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28.11%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1.37%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Fixed 5%</w:t>
              <w:br/>
              <w:t>Best book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−153.91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5,950.63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−2.59%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[−20.94%, 17.72%]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66.46%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0.96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2.60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54.44%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−15.39%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Fixed 5%</w:t>
              <w:br/>
              <w:t>Bet365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−23.50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3,140.00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−0.75%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[−19.47%, 19.71%]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53.19%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0.99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2.58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29.38%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−2.35%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Fixed 5%</w:t>
              <w:br/>
              <w:t>Bet365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−170.61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5,526.38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−3.09%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[−20.97%, 16.47%]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57.81%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0.96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2.50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51.98%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−17.06%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Primary</w:t>
              <w:br/>
              <w:t>Best book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Primary</w:t>
              <w:br/>
              <w:t>Best book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Primary</w:t>
              <w:br/>
              <w:t>Bet365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Accuracy / Primary</w:t>
              <w:br/>
              <w:t>Bet365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Primary</w:t>
              <w:br/>
              <w:t>Best book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Primary</w:t>
              <w:br/>
              <w:t>Best book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Primary</w:t>
              <w:br/>
              <w:t>Bet365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Calibration / Primary</w:t>
              <w:br/>
              <w:t>Bet365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—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0.00%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Ablation: complete pooled trade metrics</w:t>
      </w:r>
    </w:p>
    <w:p>
      <w:r>
        <w:t>Four exploratory outer seasons, 2022/23–2025/26; all source groups, benchmarks, fixed stakes and quarter Kelly are retained. The same inspected history is not a fresh holdout.</w:t>
      </w:r>
    </w:p>
    <w:p>
      <w:pPr>
        <w:spacing w:line="200" w:lineRule="exact" w:after="80"/>
      </w:pPr>
      <w:r>
        <w:rPr>
          <w:i/>
          <w:sz w:val="17"/>
        </w:rPr>
        <w:t>Table S3. Every pooled variant/staking rule. Components pool recorded cash totals; hit ratio pools wins/bets, not seasonal averages. Probability quality and availability claims remain separate.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312"/>
        <w:gridCol w:w="792"/>
        <w:gridCol w:w="1872"/>
        <w:gridCol w:w="1080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Trades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Hit %</w:t>
              <w:br/>
              <w:t>[95% CI]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Trade</w:t>
              <w:br/>
              <w:t>freq. %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Avg. win</w:t>
              <w:br/>
              <w:t>gain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Avg. loss</w:t>
              <w:br/>
              <w:t>size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Expected</w:t>
              <w:br/>
              <w:t>gain/trade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Expected</w:t>
              <w:br/>
              <w:t>loss/trade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Expected</w:t>
              <w:br/>
              <w:t>net/trade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Realised</w:t>
              <w:br/>
              <w:t>net/trade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Class frequency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1,447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23.01</w:t>
              <w:br/>
              <w:t>[20.76, 25.16]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98.44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31.34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17.40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6.12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11.28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−0.49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Class frequency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1,447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23.01</w:t>
              <w:br/>
              <w:t>[20.76, 25.16]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98.44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45.00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15.02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26.29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9.07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17.23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−1.21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Raw market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263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9.51</w:t>
              <w:br/>
              <w:t>[6.16, 13.38]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17.89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61.97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9.91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8.64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1.27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−3.16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Raw market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263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9.51</w:t>
              <w:br/>
              <w:t>[6.16, 13.38]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17.89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23.08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3.51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3.55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3.06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0.49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−0.98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Combined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1,285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29.49</w:t>
              <w:br/>
              <w:t>[26.97, 32.00]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87.41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23.95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9.52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6.47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3.06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0.01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Combined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1,285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29.49</w:t>
              <w:br/>
              <w:t>[26.97, 32.00]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87.41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31.17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13.72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13.30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8.59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4.71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−0.48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1,241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29.57</w:t>
              <w:br/>
              <w:t>[27.02, 32.07]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84.42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24.35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9.63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6.48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3.14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0.16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1,241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29.57</w:t>
              <w:br/>
              <w:t>[27.02, 32.07]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84.42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31.40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13.81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13.60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8.64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4.96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−0.44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Team+players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1,274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28.81</w:t>
              <w:br/>
              <w:t>[26.38, 31.45]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86.67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24.11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9.65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6.48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3.17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−0.17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Team+players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1,274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28.81</w:t>
              <w:br/>
              <w:t>[26.38, 31.45]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86.67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30.20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13.35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13.13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8.35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4.78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−0.81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Team+xG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1,236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30.42</w:t>
              <w:br/>
              <w:t>[27.61, 33.01]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84.08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25.18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9.51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6.47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3.04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0.70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Team+xG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1,236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30.42</w:t>
              <w:br/>
              <w:t>[27.61, 33.01]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84.08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33.77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14.89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14.32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9.24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5.08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−0.09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Combined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1,186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30.69</w:t>
              <w:br/>
              <w:t>[28.31, 33.25]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80.68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22.83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8.58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6.63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1.95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0.08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Combined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1,186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30.69</w:t>
              <w:br/>
              <w:t>[28.31, 33.25]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80.68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34.92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13.90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12.41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9.23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3.18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1.08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1,048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30.34</w:t>
              <w:br/>
              <w:t>[27.31, 33.08]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71.29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23.26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8.49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6.70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1.78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0.09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1,048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30.34</w:t>
              <w:br/>
              <w:t>[27.31, 33.08]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71.29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28.36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12.01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10.51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7.98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2.53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0.24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Team+players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1,147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31.04</w:t>
              <w:br/>
              <w:t>[28.42, 33.74]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78.03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22.87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8.53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6.64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1.89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0.20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Team+players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1,147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31.04</w:t>
              <w:br/>
              <w:t>[28.42, 33.74]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78.03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32.98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13.62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0.84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Team+xG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1,098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30.33</w:t>
              <w:br/>
              <w:t>[27.68, 32.92]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74.69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23.11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8.51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6.66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1.84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0.04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Team+xG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1,098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30.33</w:t>
              <w:br/>
              <w:t>[27.68, 32.92]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74.69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29.80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12.69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11.06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8.31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2.75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0.20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Temperature market / Fixed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216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25.46</w:t>
              <w:br/>
              <w:t>[20.09, 31.02]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14.69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18.03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10.00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7.81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6.81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−2.86</w:t>
            </w:r>
          </w:p>
        </w:tc>
      </w:tr>
      <w:tr>
        <w:tc>
          <w:tcPr>
            <w:tcW w:type="dxa" w:w="331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Temperature market / Quarter Kelly</w:t>
            </w:r>
          </w:p>
        </w:tc>
        <w:tc>
          <w:tcPr>
            <w:tcW w:type="dxa" w:w="79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216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25.46</w:t>
              <w:br/>
              <w:t>[20.09, 31.02]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14.69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13.19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6.36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4.75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4.07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0.68</w:t>
            </w:r>
          </w:p>
        </w:tc>
        <w:tc>
          <w:tcPr>
            <w:tcW w:type="dxa" w:w="122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−1.38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Ablation: complete pooled return and risk metrics</w:t>
      </w:r>
    </w:p>
    <w:p>
      <w:r>
        <w:t>Each outer season starts a separate bankroll. Pooled ROI uses total profit / turnover; capital return uses total opening capital. 11 of 11 positive point-ROI intervals include zero; conditional comparisons do not identify a reliable winning strategy.</w:t>
      </w:r>
    </w:p>
    <w:p>
      <w:pPr>
        <w:spacing w:line="200" w:lineRule="exact" w:after="80"/>
      </w:pPr>
      <w:r>
        <w:rPr>
          <w:i/>
          <w:sz w:val="17"/>
        </w:rPr>
        <w:t>Table S4. Same pooled variants as S3. Max drawdown is the worst seasonal episode; no stitched pooled equity path or annualized Sharpe is claimed.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1296"/>
        <w:gridCol w:w="1440"/>
        <w:gridCol w:w="864"/>
        <w:gridCol w:w="1872"/>
        <w:gridCol w:w="1080"/>
        <w:gridCol w:w="1080"/>
        <w:gridCol w:w="1080"/>
        <w:gridCol w:w="1008"/>
        <w:gridCol w:w="1080"/>
      </w:tblGrid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Strategy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Net profit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Turnover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ROI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95% ROI CI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Expected</w:t>
              <w:br/>
              <w:t>ROI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Profit</w:t>
              <w:br/>
              <w:t>factor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Payoff</w:t>
              <w:br/>
              <w:t>ratio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Max.</w:t>
              <w:br/>
              <w:t>drawdown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Capital</w:t>
              <w:br/>
              <w:t>return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Class frequency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−702.40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14,470.00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−4.85%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[−15.44%, 6.37%]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112.76%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0.94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3.13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48.07%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−17.56%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Class frequency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−1,745.71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21,477.81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−8.13%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[−19.24%, 2.99%]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116.05%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0.90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3.00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71.65%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−43.64%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Raw market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−830.70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2,630.00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−31.59%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[−60.15%, −0.51%]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12.70%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0.65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6.20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40.00%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−20.77%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Raw market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−258.21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946.97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−27.27%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[−55.64%, 3.69%]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13.67%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0.69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6.58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13.93%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−6.46%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Combined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17.80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12,850.00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0.14%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[−9.88%, 9.71%]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30.59%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1.00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2.40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63.10%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0.45%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Combined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−621.53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17,911.66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−3.47%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[−13.04%, 5.57%]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33.77%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0.95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2.27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62.04%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−15.54%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197.90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12,410.00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1.59%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[−9.00%, 11.68%]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31.41%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1.02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2.44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26.47%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4.95%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−544.32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17,405.19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−3.13%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[−13.24%, 6.63%]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35.39%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0.95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2.27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46.12%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−13.61%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Team+players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−220.60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12,740.00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−1.73%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[−11.75%, 7.36%]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31.74%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0.98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2.41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37.26%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−5.51%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Team+players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−1,027.84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17,212.31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−5.97%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[−16.16%, 2.96%]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35.40%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0.92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2.26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55.40%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−25.70%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Team+xG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866.30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12,360.00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7.01%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[−4.54%, 18.60%]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30.41%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1.10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2.52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23.26%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21.66%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Logistic: Team+xG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−109.75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18,605.85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−0.59%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[−10.97%, 8.72%]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33.75%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0.99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2.27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48.84%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−2.74%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Combined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90.30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11,860.00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0.76%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[−8.60%, 11.05%]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19.45%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1.01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2.28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44.57%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2.26%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Combined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1,285.63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17,870.62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7.19%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[−2.64%, 17.42%]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21.12%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1.11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2.51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33.95%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32.14%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95.30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10,480.00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0.91%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[−11.04%, 13.22%]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17.81%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1.01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2.33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34.22%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2.38%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250.07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13,587.50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1.84%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[−7.86%, 12.30%]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19.53%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1.03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2.36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25.64%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6.25%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Team+players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233.40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11,470.00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2.03%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[−8.35%, 12.45%]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18.92%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1.03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2.29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34.33%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5.83%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Team+players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965.14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16,820.95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5.74%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[−3.88%, 15.84%]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20.46%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1.09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2.42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32.58%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24.13%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Team+xG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46.60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10,980.00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0.42%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[−9.38%, 10.93%]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18.44%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1.01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2.31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22.78%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1.17%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Market residual: Team+xG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216.80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14,835.15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1.46%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[−7.78%, 11.22%]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20.36%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1.02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2.35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23.63%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5.42%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Temperature market / Fixed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−618.10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2,160.00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−28.62%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[−50.73%, −5.21%]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9.93%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0.62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1.80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57.00%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−15.45%</w:t>
            </w:r>
          </w:p>
        </w:tc>
      </w:tr>
      <w:tr>
        <w:tc>
          <w:tcPr>
            <w:tcW w:type="dxa" w:w="360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Temperature market / Quarter Kelly</w:t>
            </w:r>
          </w:p>
        </w:tc>
        <w:tc>
          <w:tcPr>
            <w:tcW w:type="dxa" w:w="1296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−297.97</w:t>
            </w:r>
          </w:p>
        </w:tc>
        <w:tc>
          <w:tcPr>
            <w:tcW w:type="dxa" w:w="144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1,837.10</w:t>
            </w:r>
          </w:p>
        </w:tc>
        <w:tc>
          <w:tcPr>
            <w:tcW w:type="dxa" w:w="864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−16.22%</w:t>
            </w:r>
          </w:p>
        </w:tc>
        <w:tc>
          <w:tcPr>
            <w:tcW w:type="dxa" w:w="1872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[−31.25%, −1.06%]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7.94%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0.71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2.07</w:t>
            </w:r>
          </w:p>
        </w:tc>
        <w:tc>
          <w:tcPr>
            <w:tcW w:type="dxa" w:w="1008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21.26%</w:t>
            </w:r>
          </w:p>
        </w:tc>
        <w:tc>
          <w:tcPr>
            <w:tcW w:type="dxa" w:w="1080"/>
            <w:tcMar>
              <w:top w:w="10" w:type="dxa"/>
              <w:bottom w:w="10" w:type="dxa"/>
            </w:tcMar>
          </w:tcPr>
          <w:p>
            <w:pPr>
              <w:spacing w:after="0" w:line="184" w:lineRule="exact"/>
            </w:pPr>
            <w:r>
              <w:rPr>
                <w:rFonts w:ascii="Arial" w:hAnsi="Arial"/>
                <w:sz w:val="16"/>
              </w:rPr>
              <w:t>−7.45%</w:t>
            </w:r>
          </w:p>
        </w:tc>
      </w:tr>
    </w:tbl>
    <w:p>
      <w:pPr>
        <w:sectPr>
          <w:pgSz w:w="15840" w:h="12240" w:orient="landscape"/>
          <w:pgMar w:top="720" w:right="720" w:bottom="720" w:left="720" w:header="288" w:footer="288" w:gutter="0"/>
          <w:cols w:space="720"/>
          <w:docGrid w:linePitch="360"/>
        </w:sectPr>
      </w:pPr>
    </w:p>
    <w:p>
      <w:pPr>
        <w:pStyle w:val="Heading1"/>
      </w:pPr>
      <w:r>
        <w:t>Coverage, pending opportunities and audit trail</w:t>
      </w:r>
    </w:p>
    <w:p>
      <w:r>
        <w:t>The prospective table contains 20 declared strategy/staking status slots, each summarising a model's future opportunities; these are not 20 fixtures or executed trades. Across distinct models it records 40 released forecasts, 0 quote-backed forecasts and 0 resolved forecasts. Trading performance remains unavailable without recorded quote-backed positions. Unknown trade counts, profits and expectations stay unavailable rather than becoming zero. Full per-slot reasons remain in the workbook and CSV.</w:t>
      </w:r>
    </w:p>
    <w:p>
      <w:r>
        <w:t>The separate arbitrage screen contains 7 source rows. The arithmetic sum of inverse best-outcome prices can describe a candidate; it does not prove synchronized observation, accepted stakes, compatible settlement, fees or execution. Screen statuses are retained separately from strategy wagers and are not credited as trading profit.</w:t>
      </w:r>
    </w:p>
    <w:p>
      <w:r>
        <w:t>Validation and threshold-grid diagnostics are labelled explicitly and excluded from the two held-out/pool displays. Historical monitoring is retrospective. All 172 underlying rows remain available without selecting the best strategy after observing returns. The supplement neither changes decisions nor promises future profit.</w:t>
      </w:r>
    </w:p>
    <w:p>
      <w:r>
        <w:t>Open EPL_strategy_metrics.xlsx for all strategies, source scopes, prospective status, arbitrage status and metric definitions. strategy_metrics_full.csv retains every source metric at original precision. The four display CSVs contain the rounded published tables. No fee or fill assumptions are silently introduced.</w:t>
      </w:r>
    </w:p>
    <w:p>
      <w:r>
        <w:t>The companion report_manifest.json lists input/output SHA-256 hashes and verifies that original study outputs and the seven-page draft stayed unchanged. Regenerate this supplement with python -m epl_strategy.report --results PATH. The report reads the saved analytics; it does not retrieve data, train estimators, tune thresholds or rewrite historical results.</w:t>
      </w:r>
    </w:p>
    <w:p>
      <w:r>
        <w:t>Definitions and interval conventions follow epl_strategy/METHODOLOGY.md. Winning-trade share, conditional mean win/loss and profit-factor terminology is consistent with the official MetaTrader report reference linked there; the probability-weighted components remain separately defined in this project.</w:t>
      </w:r>
    </w:p>
    <w:sectPr w:rsidR="00FC693F" w:rsidRPr="0006063C" w:rsidSect="00034616"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sz w:val="16"/>
      </w:rPr>
      <w:t>EPL STRATEGY METRICS — DRAFT FOR REVIEW | October 14,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8" w:lineRule="exact" w:after="14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 w:line="32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EPL trading-strategy metrics supplement — draft for review</dc:title>
  <dc:subject/>
  <dc:creator>Aman Dhillon and Panagiotis Housos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