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EPL strategy robustness — exploratory companion draft</w:t>
      </w:r>
    </w:p>
    <w:p>
      <w:r>
        <w:t>October 14, 2026 | Separate extension of the frozen EPL study and the 172-row trading-metrics supplement. All analyses reuse already inspected history; no model, threshold, feature, outcome or selected trade is changed.</w:t>
      </w:r>
    </w:p>
    <w:p>
      <w:r>
        <w:t>Saved analysis run: 2026-10-15T02:46:39.840013+00:00 UTC; October 14, 2026 at 10:46 PM EDT in New York. The source UTC timestamp and local draft date are recorded separately.</w:t>
      </w:r>
    </w:p>
    <w:p>
      <w:r>
        <w:t>The stress table contains 1,422 rows: 158 original strategy/scope records under nine declared assumptions. The original 14 tuning-diagnostic rows are outside this stress extension. All 16 first locked-test policies and 22 pooled ablation variants remain visible, including cash policies. Every scenario retains hit ratio, expected gain/loss, frequency, realised returns and risk in the workbook.</w:t>
      </w:r>
    </w:p>
    <w:p>
      <w:r>
        <w:t>These are hypothetical stress assumptions, not observed bookmaker fees or attainable prices. With original stake s, odds O, fee rate c on every wager and winning-profit haircut h, winning net payoff is s·[(O−1)(1−h)−c], and losing net payoff is −s·(1+c). The haircut applies to winning net payout before fees, excluding returned stake; it is not a haircut of full decimal odds.</w:t>
      </w:r>
    </w:p>
    <w:p>
      <w:r>
        <w:t>Original selections, probabilities and allocated stakes stay fixed. There is no requalification, resizing or newly simulated Kelly sizing path. Fees are 0%, 0.25%, 0.5%, 1% or 2% of original stakes; payout haircuts are 1%, 2.5% or 5%; the combined stress uses a 1% fee plus a 2.5% haircut. Hit ratio and recorded trade frequency therefore remain unchanged by construction. Profitable-trade share remains separately defined from outcome hit ratio.</w:t>
      </w:r>
    </w:p>
    <w:p>
      <w:r>
        <w:t>Model-implied expected gain/loss are probability-weighted positive/negative outcome cashflow components at those recorded stakes. They are not unconditional forecasts of terminal wealth. ROI divides stressed profit by original wager turnover; the separate cash-outlay ROI includes hypothetical fees in its denominator. The same 5% qualification rule already embeds positive model-implied value, so large expected returns are not independent evidence of an edge.</w:t>
      </w:r>
    </w:p>
    <w:p>
      <w:r>
        <w:t>Funding is checked before date settlement: original date stakes plus fees must fit the stressed date-start cash. A failure leaves only an unfundable shadow cashflow calculation, marked †. Conventional max drawdown is then unavailable; shadow drawdown can exceed 100%. Each pooled season resets capital independently. No shadow path is presented as a feasible trading strategy or a fresh Kelly replay.</w:t>
      </w:r>
    </w:p>
    <w:p>
      <w:r>
        <w:t>Reported stress intervals, where available, condition on the recorded positions and use the same whole-date bootstrap draws across scenarios, stratified by reset episode. They omit fitting, selection, market execution and multiplicity uncertainty. Bin, deletion and concentration summaries are descriptive diagnostics; they do not create a new holdout or justify a newly selected tail filter.</w:t>
      </w:r>
    </w:p>
    <w:p>
      <w:pPr>
        <w:sectPr>
          <w:headerReference w:type="default" r:id="rId9"/>
          <w:footerReference w:type="default" r:id="rId10"/>
          <w:pgSz w:w="12240" w:h="15840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First locked test: all 16 policies under every stress</w:t>
      </w:r>
    </w:p>
    <w:p>
      <w:r>
        <w:t>Cells show net profit / original wager turnover (%). Fee columns charge every original wager; payout columns reduce winning net payouts. A dash is undefined, including cash-policy ROI. † means the recorded exposure cannot be funded under that scenario.</w:t>
      </w:r>
    </w:p>
    <w:p>
      <w:pPr>
        <w:spacing w:line="196" w:lineRule="exact" w:after="80"/>
      </w:pPr>
      <w:r>
        <w:rPr>
          <w:i/>
          <w:sz w:val="16"/>
        </w:rPr>
        <w:t>Table R1. Complete 2025/26 locked-test policy grid; unchanged selections/stakes. These are assumptions applied to history, not actual provider fee schedules.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67"/>
      </w:tblGrid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Strategy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Base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</w:t>
              <w:br/>
              <w:t>0.25%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</w:t>
              <w:br/>
              <w:t>0.5%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</w:t>
              <w:br/>
              <w:t>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</w:t>
              <w:br/>
              <w:t>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Payout</w:t>
              <w:br/>
              <w:t>−1%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Payout</w:t>
              <w:br/>
              <w:t>−2.5%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Payout</w:t>
              <w:br/>
              <w:t>−5%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 1% +</w:t>
              <w:br/>
              <w:t>payout −2.5%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Fixed 5%</w:t>
              <w:br/>
              <w:t>Best book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−2.25%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−2.50%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−2.75%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−3.25%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−4.25%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−2.96%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−4.02%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−5.80%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−5.02%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Fixed 5%</w:t>
              <w:br/>
              <w:t>Best book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−7.01%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−7.26%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−7.51%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−8.01%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−9.01%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−7.69%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−8.69%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−10.38%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−9.69%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Fixed 5%</w:t>
              <w:br/>
              <w:t>Bet365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−5.12%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−5.37%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−5.62%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−6.12%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−7.12%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−5.80%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−6.82%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−8.52%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−7.82%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Fixed 5%</w:t>
              <w:br/>
              <w:t>Bet365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−8.57%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−8.82%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−9.07%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−9.57%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−10.57%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−9.22%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−10.20%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−11.83%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−11.20%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Fixed 5%</w:t>
              <w:br/>
              <w:t>Best book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0.41%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0.16%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−0.32%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−1.42%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−3.26%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−2.42%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Fixed 5%</w:t>
              <w:br/>
              <w:t>Best book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−2.84%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−3.29%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−4.35%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−6.12%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−5.35%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Fixed 5%</w:t>
              <w:br/>
              <w:t>Bet365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−0.75%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−1.00%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−1.25%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−1.75%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−2.75%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−1.46%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−2.54%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−4.33%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−3.54%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Fixed 5%</w:t>
              <w:br/>
              <w:t>Bet365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−3.34%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−3.78%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−4.82%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−6.56%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−5.82%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Primary</w:t>
              <w:br/>
              <w:t>Best book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Primary</w:t>
              <w:br/>
              <w:t>Best book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Primary</w:t>
              <w:br/>
              <w:t>Bet365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Primary</w:t>
              <w:br/>
              <w:t>Bet365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Primary</w:t>
              <w:br/>
              <w:t>Best book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Primary</w:t>
              <w:br/>
              <w:t>Best book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Primary</w:t>
              <w:br/>
              <w:t>Bet365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Primary</w:t>
              <w:br/>
              <w:t>Bet365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Pooled ablation: all 22 variants under every stress</w:t>
      </w:r>
    </w:p>
    <w:p>
      <w:r>
        <w:t>Four exploratory outer seasons, 2022/23–2025/26; independently funded resets. Pooled profit and turnover add across seasons. † marks a failure in at least one episode; its value is a shadow cashflow return.</w:t>
      </w:r>
    </w:p>
    <w:p>
      <w:r>
        <w:t>For 11 of 11 positive baseline point returns, the conditional 95% ROI interval includes zero. Full scenario intervals remain in the workbook; these overlapping historical comparisons do not establish a newly selected winning strategy.</w:t>
      </w:r>
    </w:p>
    <w:p>
      <w:pPr>
        <w:spacing w:line="196" w:lineRule="exact" w:after="80"/>
      </w:pPr>
      <w:r>
        <w:rPr>
          <w:i/>
          <w:sz w:val="16"/>
        </w:rPr>
        <w:t>Table R2. Complete pooled variant/staking grid. No displayed scenario or strategy is selected for deployment from these results.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67"/>
      </w:tblGrid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Strategy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Base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</w:t>
              <w:br/>
              <w:t>0.25%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</w:t>
              <w:br/>
              <w:t>0.5%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</w:t>
              <w:br/>
              <w:t>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</w:t>
              <w:br/>
              <w:t>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Payout</w:t>
              <w:br/>
              <w:t>−1%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Payout</w:t>
              <w:br/>
              <w:t>−2.5%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Payout</w:t>
              <w:br/>
              <w:t>−5%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Fee 1% +</w:t>
              <w:br/>
              <w:t>payout −2.5%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Class frequency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−4.85%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−5.10%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−5.35%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−5.85%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−6.85%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−5.58%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−6.66%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−8.46%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−7.66%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Class frequency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−8.13%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−8.38%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−8.63%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−9.13%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−10.13%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−8.83%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−9.87%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−11.62%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−10.87%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Raw market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−31.59%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−31.84%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−32.09%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−32.59%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−33.59%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−32.17%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−33.06%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−34.53%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−34.06%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Raw market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−27.27%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−27.52%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−27.77%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−28.27%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−29.27%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−27.88%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−28.79%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−30.31%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−29.79%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Combined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0.14%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−0.11%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−0.36%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−0.86%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−1.86%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−0.57%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−1.63%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−3.39%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−2.63%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Combined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−3.47%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−3.72%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−3.97%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−4.47%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−5.47%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−4.13%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−5.12%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−6.77%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−6.12%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1.34%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−0.41%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0.87%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−0.21%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−2.01%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−1.21%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−3.13%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−3.38%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−3.63%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−4.13%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−5.13%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−3.79%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−4.78%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−6.44%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−5.78%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Team+players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−1.73%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−1.98%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−2.23%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−2.73%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−3.73%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−2.43%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−3.47%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−5.20%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−4.47%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Team+players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−5.97%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−6.22%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−6.47%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−6.97%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−7.97%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−6.62%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−7.58%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−9.19%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−8.58%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Team+xG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7.01%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6.76%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6.51%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6.01%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5.01%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6.24%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3.18%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4.09%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Team+xG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−0.84%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−1.27%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−2.30%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−4.00%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−3.30%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Combined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0.76%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0.51%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0.26%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−0.24%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−1.24%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−0.99%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−2.74%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−1.99%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Combined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7.19%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6.94%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6.69%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6.19%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5.19%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6.48%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5.42%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3.64%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4.42%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0.91%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0.66%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0.41%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−1.09%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0.20%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−0.85%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−2.62%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−1.85%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1.84%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1.59%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1.34%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0.84%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−0.16%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1.18%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0.18%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−1.48%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−0.82%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Team+players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2.03%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1.78%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1.53%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1.03%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1.32%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0.26%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−1.51%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−0.74%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Team+players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5.74%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5.49%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5.24%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4.74%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3.74%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5.04%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3.99%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2.25%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2.99%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Team+xG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0.42%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0.17%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−0.08%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−0.58%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−1.58%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−0.28%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−1.33%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−3.08%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−2.33%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Team+xG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1.46%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1.21%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0.96%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0.46%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−0.54%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0.79%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−0.21%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−1.88%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−1.21%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Temperature market / Fixed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−28.62%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−28.87%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−29.12%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−29.62%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−30.62%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−29.07%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−29.76%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−30.91%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−30.76%</w:t>
            </w:r>
          </w:p>
        </w:tc>
      </w:tr>
      <w:tr>
        <w:tc>
          <w:tcPr>
            <w:tcW w:type="dxa" w:w="345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Temperature market / Quarter Kelly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−16.22%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−16.47%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−16.72%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−17.22%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−18.22%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−16.61%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−17.21%</w:t>
            </w:r>
          </w:p>
        </w:tc>
        <w:tc>
          <w:tcPr>
            <w:tcW w:type="dxa" w:w="121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−18.19%</w:t>
            </w:r>
          </w:p>
        </w:tc>
        <w:tc>
          <w:tcPr>
            <w:tcW w:type="dxa" w:w="1267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−18.21%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First locked test: combined-stress trade metrics</w:t>
      </w:r>
    </w:p>
    <w:p>
      <w:r>
        <w:t>Combined assumption: 1% of each original stake plus a 2.5% haircut of winning profit. All money columns are units per trade; average +gain/−loss are realised conditional net-P&amp;L magnitudes. Hit and frequency are percentages.</w:t>
      </w:r>
    </w:p>
    <w:p>
      <w:pPr>
        <w:spacing w:line="196" w:lineRule="exact" w:after="80"/>
      </w:pPr>
      <w:r>
        <w:rPr>
          <w:i/>
          <w:sz w:val="16"/>
        </w:rPr>
        <w:t>Table R3. All 16 policies. Funding cell is Yes/conventional drawdown, or No/unavailable with separately labelled shadow drawdown. Totals, probability-weighted net expectancy and all other scenario metrics remain in the workbook.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792"/>
        <w:gridCol w:w="936"/>
        <w:gridCol w:w="1008"/>
        <w:gridCol w:w="1080"/>
        <w:gridCol w:w="1080"/>
        <w:gridCol w:w="1440"/>
        <w:gridCol w:w="1440"/>
        <w:gridCol w:w="1440"/>
        <w:gridCol w:w="1584"/>
      </w:tblGrid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Strategy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Trades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Hit 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Trade</w:t>
              <w:br/>
              <w:t>freq. 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Avg. +</w:t>
              <w:br/>
              <w:t>gain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Avg. −</w:t>
              <w:br/>
              <w:t>loss size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Expected</w:t>
              <w:br/>
              <w:t>gain/trade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Expected</w:t>
              <w:br/>
              <w:t>loss/trade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Realised</w:t>
              <w:br/>
              <w:t>net/trade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Fundable /</w:t>
              <w:br/>
              <w:t>max. DD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Fixed 5%</w:t>
              <w:br/>
              <w:t>Best book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371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26.68%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99.20%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25.87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11.41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6.38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−0.50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30.23%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Fixed 5%</w:t>
              <w:br/>
              <w:t>Best book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371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26.68%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99.20%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35.48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14.83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16.99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9.14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−1.40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58.72%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Fixed 5%</w:t>
              <w:br/>
              <w:t>Bet365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365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26.85%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97.59%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24.61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10.56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6.31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−0.78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33.59%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Fixed 5%</w:t>
              <w:br/>
              <w:t>Bet365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365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26.85%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97.59%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32.71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14.13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15.01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8.63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−1.55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61.19%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Fixed 5%</w:t>
              <w:br/>
              <w:t>Best book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333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27.03%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89.04%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26.37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12.06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6.38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−0.24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33.27%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Fixed 5%</w:t>
              <w:br/>
              <w:t>Best book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333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27.03%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89.04%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45.39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18.12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22.31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11.19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−0.96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63.19%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Fixed 5%</w:t>
              <w:br/>
              <w:t>Bet365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314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27.71%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83.96%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25.08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11.28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6.35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−0.35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34.18%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Fixed 5%</w:t>
              <w:br/>
              <w:t>Bet365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314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27.71%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83.96%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42.83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17.83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20.43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10.95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−1.02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60.39%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Primary</w:t>
              <w:br/>
              <w:t>Best book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0.00%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Primary</w:t>
              <w:br/>
              <w:t>Best book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0.00%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Primary</w:t>
              <w:br/>
              <w:t>Bet365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0.00%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Accuracy / Primary</w:t>
              <w:br/>
              <w:t>Bet365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0.00%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Primary</w:t>
              <w:br/>
              <w:t>Best book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0.00%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Primary</w:t>
              <w:br/>
              <w:t>Best book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0.00%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Primary</w:t>
              <w:br/>
              <w:t>Bet365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0.00%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Calibration / Primary</w:t>
              <w:br/>
              <w:t>Bet365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0.00%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Pooled ablation: combined-stress trade metrics</w:t>
      </w:r>
    </w:p>
    <w:p>
      <w:r>
        <w:t>Same combined assumption and columns as R3. Pooled drawdown describes the worst separate episode; it is not a continuous bankroll path. Counterfactual recorded activity is not a claim of feasible executed activity.</w:t>
      </w:r>
    </w:p>
    <w:p>
      <w:pPr>
        <w:spacing w:line="196" w:lineRule="exact" w:after="80"/>
      </w:pPr>
      <w:r>
        <w:rPr>
          <w:i/>
          <w:sz w:val="16"/>
        </w:rPr>
        <w:t>Table R4. Every pooled variant/staking rule. Missing per-trade means for no-trade policies remain unavailable, never invented zero payoffs.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792"/>
        <w:gridCol w:w="936"/>
        <w:gridCol w:w="1008"/>
        <w:gridCol w:w="1080"/>
        <w:gridCol w:w="1080"/>
        <w:gridCol w:w="1440"/>
        <w:gridCol w:w="1440"/>
        <w:gridCol w:w="1440"/>
        <w:gridCol w:w="1584"/>
      </w:tblGrid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Strategy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Trades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Hit 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Trade</w:t>
              <w:br/>
              <w:t>freq. 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Avg. +</w:t>
              <w:br/>
              <w:t>gain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Avg. −</w:t>
              <w:br/>
              <w:t>loss size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Expected</w:t>
              <w:br/>
              <w:t>gain/trade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Expected</w:t>
              <w:br/>
              <w:t>loss/trade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Realised</w:t>
              <w:br/>
              <w:t>net/trade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Fundable /</w:t>
              <w:br/>
              <w:t>max. DD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Class frequency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1,447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23.01%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98.44%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30.46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16.92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6.18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−0.77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54.03%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Class frequency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1,447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23.01%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98.44%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43.73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15.17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25.58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9.16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−1.61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82.28%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Raw market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263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9.51%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17.89%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60.32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9.65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8.73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−3.41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40.77%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Raw market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263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9.51%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17.89%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22.46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3.54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3.46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3.09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−1.07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14.23%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Combined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1,285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29.49%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87.41%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23.25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9.25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6.53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−0.26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70.63%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Combined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1,285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29.49%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87.41%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30.24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13.86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12.91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8.68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−0.85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70.65%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1,241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29.57%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84.42%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23.65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9.35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6.55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−0.12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30.68%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1,241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29.57%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84.42%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30.47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13.95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13.21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8.73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−0.81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54.34%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Team+players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1,274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28.81%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86.67%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23.41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9.37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6.54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−0.45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42.64%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Team+players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1,274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28.81%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86.67%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29.31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13.49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12.75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8.43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−1.16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63.92%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Team+xG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1,236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30.42%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84.08%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24.45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9.23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6.53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0.41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26.38%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Team+xG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1,236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30.42%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84.08%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32.77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15.04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13.90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9.33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−0.50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56.44%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Combined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1,186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30.69%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80.68%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22.16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8.33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6.70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−0.20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49.78%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Combined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1,186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30.69%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80.68%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33.87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14.04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12.05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9.33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0.67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39.97%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1,048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30.34%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71.29%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22.57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8.24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6.77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−0.19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39.87%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1,048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30.34%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71.29%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27.50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12.13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10.20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8.06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−0.11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29.06%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Team+players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1,147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31.04%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78.03%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22.20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8.28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6.70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−0.07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41.04%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Team+players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1,147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31.04%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78.03%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31.99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13.76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11.64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9.09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0.44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39.54%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Team+xG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1,098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30.33%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74.69%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22.44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8.26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6.73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−0.23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25.17%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Team+xG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1,098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30.33%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74.69%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28.90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12.82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10.73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8.39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−0.16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27.67%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Temperature market / Fixed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216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25.46%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14.69%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17.48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10.10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7.58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6.88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−3.08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58.61%</w:t>
            </w:r>
          </w:p>
        </w:tc>
      </w:tr>
      <w:tr>
        <w:tc>
          <w:tcPr>
            <w:tcW w:type="dxa" w:w="360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Temperature market / Quarter Kelly</w:t>
            </w:r>
          </w:p>
        </w:tc>
        <w:tc>
          <w:tcPr>
            <w:tcW w:type="dxa" w:w="7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216</w:t>
            </w:r>
          </w:p>
        </w:tc>
        <w:tc>
          <w:tcPr>
            <w:tcW w:type="dxa" w:w="9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25.46%</w:t>
            </w:r>
          </w:p>
        </w:tc>
        <w:tc>
          <w:tcPr>
            <w:tcW w:type="dxa" w:w="100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14.69%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12.71</w:t>
            </w:r>
          </w:p>
        </w:tc>
        <w:tc>
          <w:tcPr>
            <w:tcW w:type="dxa" w:w="108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6.42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4.59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4.12</w:t>
            </w:r>
          </w:p>
        </w:tc>
        <w:tc>
          <w:tcPr>
            <w:tcW w:type="dxa" w:w="144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−1.55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Yes / 21.78%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Selected-bet tails: expected and realised are different</w:t>
      </w:r>
    </w:p>
    <w:p>
      <w:r>
        <w:t>Descriptive illustration: calibration/best-book/fixed 5% policy, with 333 recorded bets in the first test. In saved bins at odds ≥ 10, 20 bets win 0 times while their mean forecast probability is 20.29%. This is a small retrospective tail, not evidence for a stable exclusion rule.</w:t>
      </w:r>
    </w:p>
    <w:p>
      <w:r>
        <w:t>Across these selected bets, mean forecast p is 36.83% versus hit ratio 27.03%; binary Brier is 0.1988, log loss 0.5837, and ten-bin ECE 0.0981. Model-implied ROI is 60.86% versus realised 0.41%. These conditional binary diagnostics differ from full-match three-outcome scores.</w:t>
      </w:r>
    </w:p>
    <w:p>
      <w:r>
        <w:drawing>
          <wp:inline xmlns:a="http://schemas.openxmlformats.org/drawingml/2006/main" xmlns:pic="http://schemas.openxmlformats.org/drawingml/2006/picture">
            <wp:extent cx="9006840" cy="2862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odds_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2862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196" w:lineRule="exact" w:after="80"/>
      </w:pPr>
      <w:r>
        <w:rPr>
          <w:i/>
          <w:sz w:val="16"/>
        </w:rPr>
        <w:t>Figure R1. Saved selected-bet bins; point estimates. * denotes fewer than 30 trades, with no implied precision. High-odds payoff weights can enlarge modest probability errors; empty bins remain unobserved.</w:t>
      </w:r>
    </w:p>
    <w:p>
      <w:pPr>
        <w:spacing w:line="196" w:lineRule="exact" w:after="80"/>
      </w:pPr>
      <w:r>
        <w:rPr>
          <w:i/>
          <w:sz w:val="16"/>
        </w:rPr>
        <w:t>Table R5. Original baseline positions only. For a binary recorded wager, expected minus realised net P&amp;L equals stake×odds×(p−outcome); summing gives an arithmetic decomposition, not a causal explanation or prospective result.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152"/>
        <w:gridCol w:w="1152"/>
        <w:gridCol w:w="2304"/>
        <w:gridCol w:w="2160"/>
        <w:gridCol w:w="2592"/>
        <w:gridCol w:w="2592"/>
      </w:tblGrid>
      <w:tr>
        <w:tc>
          <w:tcPr>
            <w:tcW w:type="dxa" w:w="244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Odds bin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Trades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Wins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Mean p</w:t>
            </w:r>
          </w:p>
        </w:tc>
        <w:tc>
          <w:tcPr>
            <w:tcW w:type="dxa" w:w="216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Hit ratio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Expected ROI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Realised ROI</w:t>
            </w:r>
          </w:p>
        </w:tc>
      </w:tr>
      <w:tr>
        <w:tc>
          <w:tcPr>
            <w:tcW w:type="dxa" w:w="244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[1, 2)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64.59%</w:t>
            </w:r>
          </w:p>
        </w:tc>
        <w:tc>
          <w:tcPr>
            <w:tcW w:type="dxa" w:w="216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42.86%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17.91%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−20.57%</w:t>
            </w:r>
          </w:p>
        </w:tc>
      </w:tr>
      <w:tr>
        <w:tc>
          <w:tcPr>
            <w:tcW w:type="dxa" w:w="244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[2, 3)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50.11%</w:t>
            </w:r>
          </w:p>
        </w:tc>
        <w:tc>
          <w:tcPr>
            <w:tcW w:type="dxa" w:w="216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50.75%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26.53%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28.73%</w:t>
            </w:r>
          </w:p>
        </w:tc>
      </w:tr>
      <w:tr>
        <w:tc>
          <w:tcPr>
            <w:tcW w:type="dxa" w:w="244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[3, 5)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37.24%</w:t>
            </w:r>
          </w:p>
        </w:tc>
        <w:tc>
          <w:tcPr>
            <w:tcW w:type="dxa" w:w="216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26.95%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40.81%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3.02%</w:t>
            </w:r>
          </w:p>
        </w:tc>
      </w:tr>
      <w:tr>
        <w:tc>
          <w:tcPr>
            <w:tcW w:type="dxa" w:w="244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[5, 10)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98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28.57%</w:t>
            </w:r>
          </w:p>
        </w:tc>
        <w:tc>
          <w:tcPr>
            <w:tcW w:type="dxa" w:w="216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15.31%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88.98%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−0.71%</w:t>
            </w:r>
          </w:p>
        </w:tc>
      </w:tr>
      <w:tr>
        <w:tc>
          <w:tcPr>
            <w:tcW w:type="dxa" w:w="2448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[10, inf)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20.29%</w:t>
            </w:r>
          </w:p>
        </w:tc>
        <w:tc>
          <w:tcPr>
            <w:tcW w:type="dxa" w:w="2160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194.42%</w:t>
            </w:r>
          </w:p>
        </w:tc>
        <w:tc>
          <w:tcPr>
            <w:tcW w:type="dxa" w:w="259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−100.00%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Date concentration and season fragility</w:t>
      </w:r>
    </w:p>
    <w:p>
      <w:r>
        <w:t>Top-date shares divide the largest positive date P&amp;L sums by total positive date P&amp;L, not by small overall net profit. Deletion ranges remove each entire episode/date or season while keeping all other recorded bets/stakes fixed; they are not refitted strategies or confidence intervals.</w:t>
      </w:r>
    </w:p>
    <w:p>
      <w:pPr>
        <w:spacing w:line="196" w:lineRule="exact" w:after="80"/>
      </w:pPr>
      <w:r>
        <w:rPr>
          <w:i/>
          <w:sz w:val="16"/>
        </w:rPr>
        <w:t>Table R6. All 22 pooled baseline variants. Profitable seasons are observed signs. Overlapping strategies reuse fixtures; rows are not independent replications. Detailed date influence, season deletions and selected-bet scores remain in the workbook.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1296"/>
        <w:gridCol w:w="1584"/>
        <w:gridCol w:w="1584"/>
        <w:gridCol w:w="2304"/>
        <w:gridCol w:w="1152"/>
        <w:gridCol w:w="2736"/>
      </w:tblGrid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Strategy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Base ROI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Top 1 date</w:t>
              <w:br/>
              <w:t>positive share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Top 5 dates</w:t>
              <w:br/>
              <w:t>positive share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Delete-one-date</w:t>
              <w:br/>
              <w:t>ROI range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Profitable</w:t>
              <w:br/>
              <w:t>seasons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Delete-one-season</w:t>
              <w:br/>
              <w:t>ROI range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Class frequency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−4.85%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3.83%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17.26%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[−6.39%, −4.26%]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[−7.71%, −2.73%]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Class frequency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−8.13%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4.16%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16.86%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[−9.78%, −7.35%]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[−11.46%, −6.15%]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Raw market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−31.59%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13.65%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43.49%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[−39.05%, −30.53%]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[−39.83%, −22.67%]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Raw market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−27.27%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9.29%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36.40%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[−32.69%, −26.23%]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[−36.31%, −20.41%]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Combined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0.14%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2.89%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12.05%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[−1.03%, 0.61%]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[−4.55%, 6.77%]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Combined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−3.47%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2.29%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9.76%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[−4.32%, −2.94%]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[−7.36%, −0.12%]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1.59%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4.87%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13.53%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[−0.39%, 2.24%]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[0.10%, 4.33%]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−3.13%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3.12%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12.29%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[−4.26%, −2.58%]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[−4.09%, −1.00%]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Team+players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−1.73%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2.69%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11.35%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[−2.75%, −1.13%]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[−4.09%, 1.02%]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Team+players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−5.97%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2.37%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10.85%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[−6.82%, −5.31%]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[−9.44%, −4.22%]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Team+xG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7.01%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4.37%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13.05%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[5.03%, 7.53%]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[4.76%, 9.05%]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Logistic: Team+xG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−0.59%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3.25%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12.22%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[−1.86%, 0.04%]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[−4.12%, 1.85%]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Combined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0.76%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2.86%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11.96%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[−0.39%, 1.36%]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[−5.36%, 4.56%]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Combined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7.19%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2.89%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11.71%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[6.02%, 7.91%]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[−0.60%, 11.06%]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0.91%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4.90%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14.89%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[−1.18%, 1.49%]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[−2.07%, 4.24%]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1.84%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2.43%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10.67%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[0.88%, 2.50%]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[−0.37%, 3.70%]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Team+players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2.03%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3.56%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12.49%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[0.55%, 2.66%]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[−3.64%, 5.38%]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Team+players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5.74%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2.80%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11.78%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[4.61%, 6.34%]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[−1.71%, 8.71%]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Team+xG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0.42%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3.42%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12.48%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[−0.95%, 0.92%]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[−0.73%, 1.55%]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Market residual: Team+xG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1.46%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2.41%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9.90%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[0.54%, 2.11%]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[1.10%, 1.80%]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Temperature market / Fixed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−28.62%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16.13%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48.99%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[−34.87%, −27.61%]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1/4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[−41.94%, −3.85%]</w:t>
            </w:r>
          </w:p>
        </w:tc>
      </w:tr>
      <w:tr>
        <w:tc>
          <w:tcPr>
            <w:tcW w:type="dxa" w:w="374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Temperature market / Quarter Kelly</w:t>
            </w:r>
          </w:p>
        </w:tc>
        <w:tc>
          <w:tcPr>
            <w:tcW w:type="dxa" w:w="129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−16.22%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6.42%</w:t>
            </w:r>
          </w:p>
        </w:tc>
        <w:tc>
          <w:tcPr>
            <w:tcW w:type="dxa" w:w="158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25.51%</w:t>
            </w:r>
          </w:p>
        </w:tc>
        <w:tc>
          <w:tcPr>
            <w:tcW w:type="dxa" w:w="2304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[−18.22%, −14.52%]</w:t>
            </w:r>
          </w:p>
        </w:tc>
        <w:tc>
          <w:tcPr>
            <w:tcW w:type="dxa" w:w="1152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0/4</w:t>
            </w:r>
          </w:p>
        </w:tc>
        <w:tc>
          <w:tcPr>
            <w:tcW w:type="dxa" w:w="2736"/>
          </w:tcPr>
          <w:p>
            <w:pPr>
              <w:spacing w:line="180" w:lineRule="exact" w:after="0"/>
            </w:pPr>
            <w:r>
              <w:rPr>
                <w:rFonts w:ascii="Arial" w:hAnsi="Arial"/>
                <w:sz w:val="16"/>
              </w:rPr>
              <w:t>[−38.39%, −7.18%]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Coverage, empirical cost buffers and reproducibility</w:t>
      </w:r>
    </w:p>
    <w:p>
      <w:r>
        <w:t>The complete workbook contains all 1,422 scenario rows and 158 empirical break-even rows; 24 baseline scopes hold no trades. It also retains 2,016 per-scenario/episode funding summaries, diagnostic availability, probability/odds/edge bins, selected-bet scores, date influence and season fragility. Across all scopes/scenarios, 0 rows have unfundable recorded exposure; these are not independent failure observations. All nine mild assumptions passed the funding check in this saved run; this does not verify price execution or future funding.</w:t>
      </w:r>
    </w:p>
    <w:p>
      <w:r>
        <w:t>Historical break-even fee equals baseline net profit / turnover; the winning-profit haircut buffer equals baseline net profit / total winning net gains. These signed arithmetic buffers use observed payoffs and cannot be treated as forecasts of allowable future costs. A negative buffer means the original historical return was already below zero.</w:t>
      </w:r>
    </w:p>
    <w:p>
      <w:r>
        <w:t>For the first-test calibration/best-book/fixed policy, historical ROI is 0.41%. A hypothetical 0.5% charge on every original wager changes it to −0.09% without changing its selected outcomes or recorded frequency. This quantifies sensitivity under one stated assumption; it does not identify an actual fee or an executable advantage.</w:t>
      </w:r>
    </w:p>
    <w:p>
      <w:r>
        <w:t>Selected-outcome calibration is conditional on which bets were chosen. Bin hit ratios differ from full-match H/D/A accuracy and multiclass calibration. Model probability gaps and financial expectation gaps have different weighting; odds and stakes amplify some errors. Sparse tails, repeated clubs, overlapping strategies and already inspected outcomes restrict inference. The present-day club cohort retains its original survivor and source-coverage limits. No new model or betting filter is recommended from this extension.</w:t>
      </w:r>
    </w:p>
    <w:p>
      <w:r>
        <w:t>A dash denotes undefined/unavailable, and genuine infinity remains explicit. A no-trade policy has zero cash totals and activity when opportunities exist, while hit ratio, per-trade means and ROI remain undefined. Failed funding does not erase a recorded outcome, but it prevents interpreting its shadow path as a feasible wager sequence.</w:t>
      </w:r>
    </w:p>
    <w:p>
      <w:r>
        <w:t>This companion is separate from the seven-page draft and the 172-row supplement. Its manifest hashes every new analytic input and the unchanged original study/report sources. Rebuild with python -m epl_robustness.report --results PATH. Rendering does not collect data, fit models, change selection or overwrite prior results. Full-precision source tables remain beside the companion; display CSVs use the published rounding.</w:t>
      </w:r>
    </w:p>
    <w:sectPr w:rsidR="00FC693F" w:rsidRPr="0006063C" w:rsidSect="00034616"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EPL ROBUSTNESS — EXPLORATORY DRAFT | October 14,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8" w:lineRule="exact" w:after="14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32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EPL strategy robustness — exploratory companion draft</dc:title>
  <dc:subject/>
  <dc:creator>Aman Dhillon and Panagiotis Housos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