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CE162" w14:textId="77777777" w:rsidR="005D660E" w:rsidRDefault="00557DBA">
      <w:pPr>
        <w:jc w:val="center"/>
        <w:rPr>
          <w:rFonts w:hint="eastAsia"/>
        </w:rPr>
      </w:pPr>
      <w:r>
        <w:rPr>
          <w:rFonts w:ascii="Aptos Display" w:hAnsi="Aptos Display"/>
          <w:b/>
          <w:sz w:val="28"/>
        </w:rPr>
        <w:t>STANDARD OPERATING PROCEDURE</w:t>
      </w:r>
    </w:p>
    <w:p w14:paraId="054F6E9B" w14:textId="77777777" w:rsidR="005D660E" w:rsidRDefault="00557DBA">
      <w:pPr>
        <w:jc w:val="center"/>
        <w:rPr>
          <w:rFonts w:hint="eastAsia"/>
        </w:rPr>
      </w:pPr>
      <w:r>
        <w:rPr>
          <w:rFonts w:ascii="Aptos Display" w:hAnsi="Aptos Display"/>
          <w:b/>
          <w:sz w:val="44"/>
        </w:rPr>
        <w:t>Use of the Metadata Collection Excel Template</w:t>
      </w:r>
    </w:p>
    <w:tbl>
      <w:tblPr>
        <w:tblStyle w:val="TableGrid"/>
        <w:tblW w:w="0" w:type="auto"/>
        <w:jc w:val="center"/>
        <w:tblLook w:val="04A0" w:firstRow="1" w:lastRow="0" w:firstColumn="1" w:lastColumn="0" w:noHBand="0" w:noVBand="1"/>
      </w:tblPr>
      <w:tblGrid>
        <w:gridCol w:w="2448"/>
        <w:gridCol w:w="2448"/>
        <w:gridCol w:w="2448"/>
        <w:gridCol w:w="2448"/>
      </w:tblGrid>
      <w:tr w:rsidR="005D660E" w14:paraId="27653D79" w14:textId="77777777">
        <w:trPr>
          <w:jc w:val="center"/>
        </w:trPr>
        <w:tc>
          <w:tcPr>
            <w:tcW w:w="2448" w:type="dxa"/>
            <w:shd w:val="clear" w:color="auto" w:fill="D9EAF7"/>
            <w:vAlign w:val="center"/>
          </w:tcPr>
          <w:p w14:paraId="5352E967" w14:textId="77777777" w:rsidR="005D660E" w:rsidRDefault="00557DBA">
            <w:pPr>
              <w:rPr>
                <w:rFonts w:hint="eastAsia"/>
              </w:rPr>
            </w:pPr>
            <w:r>
              <w:rPr>
                <w:b/>
                <w:sz w:val="20"/>
              </w:rPr>
              <w:t>SOP number</w:t>
            </w:r>
          </w:p>
        </w:tc>
        <w:tc>
          <w:tcPr>
            <w:tcW w:w="2448" w:type="dxa"/>
            <w:vAlign w:val="center"/>
          </w:tcPr>
          <w:p w14:paraId="2ED0FDFE" w14:textId="77777777" w:rsidR="005D660E" w:rsidRDefault="00557DBA">
            <w:pPr>
              <w:rPr>
                <w:rFonts w:hint="eastAsia"/>
              </w:rPr>
            </w:pPr>
            <w:r>
              <w:rPr>
                <w:sz w:val="20"/>
              </w:rPr>
              <w:t>SOP-MDT-001</w:t>
            </w:r>
          </w:p>
        </w:tc>
        <w:tc>
          <w:tcPr>
            <w:tcW w:w="2448" w:type="dxa"/>
            <w:shd w:val="clear" w:color="auto" w:fill="D9EAF7"/>
            <w:vAlign w:val="center"/>
          </w:tcPr>
          <w:p w14:paraId="22ACD07E" w14:textId="77777777" w:rsidR="005D660E" w:rsidRDefault="00557DBA">
            <w:pPr>
              <w:rPr>
                <w:rFonts w:hint="eastAsia"/>
              </w:rPr>
            </w:pPr>
            <w:r>
              <w:rPr>
                <w:b/>
                <w:sz w:val="20"/>
              </w:rPr>
              <w:t>Version</w:t>
            </w:r>
          </w:p>
        </w:tc>
        <w:tc>
          <w:tcPr>
            <w:tcW w:w="2448" w:type="dxa"/>
            <w:vAlign w:val="center"/>
          </w:tcPr>
          <w:p w14:paraId="5AC735BB" w14:textId="4F34BEE3" w:rsidR="005D660E" w:rsidRDefault="00557DBA">
            <w:pPr>
              <w:rPr>
                <w:rFonts w:hint="eastAsia"/>
              </w:rPr>
            </w:pPr>
            <w:r>
              <w:rPr>
                <w:sz w:val="20"/>
              </w:rPr>
              <w:t>1.0</w:t>
            </w:r>
            <w:r w:rsidR="00271825">
              <w:rPr>
                <w:sz w:val="20"/>
              </w:rPr>
              <w:t>.1</w:t>
            </w:r>
          </w:p>
        </w:tc>
      </w:tr>
      <w:tr w:rsidR="005D660E" w14:paraId="779ECD79" w14:textId="77777777">
        <w:trPr>
          <w:jc w:val="center"/>
        </w:trPr>
        <w:tc>
          <w:tcPr>
            <w:tcW w:w="2448" w:type="dxa"/>
            <w:shd w:val="clear" w:color="auto" w:fill="D9EAF7"/>
            <w:vAlign w:val="center"/>
          </w:tcPr>
          <w:p w14:paraId="71F40C11" w14:textId="77777777" w:rsidR="005D660E" w:rsidRDefault="00557DBA">
            <w:pPr>
              <w:rPr>
                <w:rFonts w:hint="eastAsia"/>
              </w:rPr>
            </w:pPr>
            <w:r>
              <w:rPr>
                <w:b/>
                <w:sz w:val="20"/>
              </w:rPr>
              <w:t>Effective date</w:t>
            </w:r>
          </w:p>
        </w:tc>
        <w:tc>
          <w:tcPr>
            <w:tcW w:w="2448" w:type="dxa"/>
            <w:vAlign w:val="center"/>
          </w:tcPr>
          <w:p w14:paraId="3A7FE276" w14:textId="77777777" w:rsidR="005D660E" w:rsidRDefault="00557DBA">
            <w:pPr>
              <w:rPr>
                <w:rFonts w:hint="eastAsia"/>
              </w:rPr>
            </w:pPr>
            <w:r>
              <w:rPr>
                <w:sz w:val="20"/>
              </w:rPr>
              <w:t>To be assigned</w:t>
            </w:r>
          </w:p>
        </w:tc>
        <w:tc>
          <w:tcPr>
            <w:tcW w:w="2448" w:type="dxa"/>
            <w:shd w:val="clear" w:color="auto" w:fill="D9EAF7"/>
            <w:vAlign w:val="center"/>
          </w:tcPr>
          <w:p w14:paraId="571F8D20" w14:textId="77777777" w:rsidR="005D660E" w:rsidRDefault="00557DBA">
            <w:pPr>
              <w:rPr>
                <w:rFonts w:hint="eastAsia"/>
              </w:rPr>
            </w:pPr>
            <w:r>
              <w:rPr>
                <w:b/>
                <w:sz w:val="20"/>
              </w:rPr>
              <w:t>Review date</w:t>
            </w:r>
          </w:p>
        </w:tc>
        <w:tc>
          <w:tcPr>
            <w:tcW w:w="2448" w:type="dxa"/>
            <w:vAlign w:val="center"/>
          </w:tcPr>
          <w:p w14:paraId="7075F0AB" w14:textId="77777777" w:rsidR="005D660E" w:rsidRDefault="00557DBA">
            <w:pPr>
              <w:rPr>
                <w:rFonts w:hint="eastAsia"/>
              </w:rPr>
            </w:pPr>
            <w:r>
              <w:rPr>
                <w:sz w:val="20"/>
              </w:rPr>
              <w:t>To be assigned</w:t>
            </w:r>
          </w:p>
        </w:tc>
      </w:tr>
      <w:tr w:rsidR="005D660E" w14:paraId="3288FEF9" w14:textId="77777777">
        <w:trPr>
          <w:jc w:val="center"/>
        </w:trPr>
        <w:tc>
          <w:tcPr>
            <w:tcW w:w="2448" w:type="dxa"/>
            <w:shd w:val="clear" w:color="auto" w:fill="D9EAF7"/>
            <w:vAlign w:val="center"/>
          </w:tcPr>
          <w:p w14:paraId="223D96D1" w14:textId="77777777" w:rsidR="005D660E" w:rsidRDefault="00557DBA">
            <w:pPr>
              <w:rPr>
                <w:rFonts w:hint="eastAsia"/>
              </w:rPr>
            </w:pPr>
            <w:r>
              <w:rPr>
                <w:b/>
                <w:sz w:val="20"/>
              </w:rPr>
              <w:t>Document owner</w:t>
            </w:r>
          </w:p>
        </w:tc>
        <w:tc>
          <w:tcPr>
            <w:tcW w:w="2448" w:type="dxa"/>
            <w:vAlign w:val="center"/>
          </w:tcPr>
          <w:p w14:paraId="2FCF8D25" w14:textId="77777777" w:rsidR="005D660E" w:rsidRDefault="00557DBA">
            <w:pPr>
              <w:rPr>
                <w:rFonts w:hint="eastAsia"/>
              </w:rPr>
            </w:pPr>
            <w:r>
              <w:rPr>
                <w:sz w:val="20"/>
              </w:rPr>
              <w:t>To be assigned</w:t>
            </w:r>
          </w:p>
        </w:tc>
        <w:tc>
          <w:tcPr>
            <w:tcW w:w="2448" w:type="dxa"/>
            <w:shd w:val="clear" w:color="auto" w:fill="D9EAF7"/>
            <w:vAlign w:val="center"/>
          </w:tcPr>
          <w:p w14:paraId="48668747" w14:textId="77777777" w:rsidR="005D660E" w:rsidRDefault="00557DBA">
            <w:pPr>
              <w:rPr>
                <w:rFonts w:hint="eastAsia"/>
              </w:rPr>
            </w:pPr>
            <w:r>
              <w:rPr>
                <w:b/>
                <w:sz w:val="20"/>
              </w:rPr>
              <w:t>Approved by</w:t>
            </w:r>
          </w:p>
        </w:tc>
        <w:tc>
          <w:tcPr>
            <w:tcW w:w="2448" w:type="dxa"/>
            <w:vAlign w:val="center"/>
          </w:tcPr>
          <w:p w14:paraId="20608989" w14:textId="77777777" w:rsidR="005D660E" w:rsidRDefault="00557DBA">
            <w:pPr>
              <w:rPr>
                <w:rFonts w:hint="eastAsia"/>
              </w:rPr>
            </w:pPr>
            <w:r>
              <w:rPr>
                <w:sz w:val="20"/>
              </w:rPr>
              <w:t>To be assigned</w:t>
            </w:r>
          </w:p>
        </w:tc>
      </w:tr>
      <w:tr w:rsidR="005D660E" w14:paraId="1D6701EC" w14:textId="77777777">
        <w:trPr>
          <w:jc w:val="center"/>
        </w:trPr>
        <w:tc>
          <w:tcPr>
            <w:tcW w:w="2448" w:type="dxa"/>
            <w:shd w:val="clear" w:color="auto" w:fill="D9EAF7"/>
            <w:vAlign w:val="center"/>
          </w:tcPr>
          <w:p w14:paraId="4CAA64C2" w14:textId="77777777" w:rsidR="005D660E" w:rsidRDefault="00557DBA">
            <w:pPr>
              <w:rPr>
                <w:rFonts w:hint="eastAsia"/>
              </w:rPr>
            </w:pPr>
            <w:r>
              <w:rPr>
                <w:b/>
                <w:sz w:val="20"/>
              </w:rPr>
              <w:t>Applies to</w:t>
            </w:r>
          </w:p>
        </w:tc>
        <w:tc>
          <w:tcPr>
            <w:tcW w:w="2448" w:type="dxa"/>
            <w:vAlign w:val="center"/>
          </w:tcPr>
          <w:p w14:paraId="3FE83933" w14:textId="77777777" w:rsidR="005D660E" w:rsidRDefault="00557DBA">
            <w:pPr>
              <w:rPr>
                <w:rFonts w:hint="eastAsia"/>
              </w:rPr>
            </w:pPr>
            <w:r>
              <w:rPr>
                <w:sz w:val="20"/>
              </w:rPr>
              <w:t>All users of the metadata workbook</w:t>
            </w:r>
          </w:p>
        </w:tc>
        <w:tc>
          <w:tcPr>
            <w:tcW w:w="2448" w:type="dxa"/>
            <w:shd w:val="clear" w:color="auto" w:fill="D9EAF7"/>
            <w:vAlign w:val="center"/>
          </w:tcPr>
          <w:p w14:paraId="4AE72162" w14:textId="77777777" w:rsidR="005D660E" w:rsidRDefault="00557DBA">
            <w:pPr>
              <w:rPr>
                <w:rFonts w:hint="eastAsia"/>
              </w:rPr>
            </w:pPr>
            <w:r>
              <w:rPr>
                <w:b/>
                <w:sz w:val="20"/>
              </w:rPr>
              <w:t>Status</w:t>
            </w:r>
          </w:p>
        </w:tc>
        <w:tc>
          <w:tcPr>
            <w:tcW w:w="2448" w:type="dxa"/>
            <w:vAlign w:val="center"/>
          </w:tcPr>
          <w:p w14:paraId="1FF88DDC" w14:textId="77777777" w:rsidR="005D660E" w:rsidRDefault="00557DBA">
            <w:pPr>
              <w:rPr>
                <w:rFonts w:hint="eastAsia"/>
              </w:rPr>
            </w:pPr>
            <w:r>
              <w:rPr>
                <w:sz w:val="20"/>
              </w:rPr>
              <w:t>Controlled document</w:t>
            </w:r>
          </w:p>
        </w:tc>
      </w:tr>
    </w:tbl>
    <w:p w14:paraId="13C17BC6" w14:textId="77777777" w:rsidR="005D660E" w:rsidRDefault="005D660E">
      <w:pPr>
        <w:rPr>
          <w:rFonts w:hint="eastAsia"/>
        </w:rPr>
      </w:pPr>
    </w:p>
    <w:p w14:paraId="00B627E3" w14:textId="77777777" w:rsidR="005D660E" w:rsidRDefault="00557DBA">
      <w:pPr>
        <w:pStyle w:val="Heading1"/>
      </w:pPr>
      <w:r>
        <w:t>1. Purpose</w:t>
      </w:r>
    </w:p>
    <w:p w14:paraId="6724D17B" w14:textId="77777777" w:rsidR="005D660E" w:rsidRDefault="00557DBA">
      <w:pPr>
        <w:rPr>
          <w:rFonts w:hint="eastAsia"/>
        </w:rPr>
      </w:pPr>
      <w:r>
        <w:t>This SOP describes the correct use of the macro-enabled Excel metadata collection template. It explains data entry, automated picklists, cross-sheet synchronisation, conditional fields, date handling, date calculations, dependent dropdowns, multi-select fields, and the use of free-text values when “Other” is selected.</w:t>
      </w:r>
    </w:p>
    <w:p w14:paraId="0A85475C" w14:textId="77777777" w:rsidR="005D660E" w:rsidRDefault="00557DBA">
      <w:pPr>
        <w:pStyle w:val="Heading1"/>
      </w:pPr>
      <w:r>
        <w:t>2. Scope</w:t>
      </w:r>
    </w:p>
    <w:p w14:paraId="360F5409" w14:textId="77777777" w:rsidR="005D660E" w:rsidRDefault="00557DBA">
      <w:pPr>
        <w:rPr>
          <w:rFonts w:hint="eastAsia"/>
        </w:rPr>
      </w:pPr>
      <w:r>
        <w:t>This SOP applies to all personnel entering, reviewing, or managing data in the workbook. It covers the sheets Template_facility, Template_clinical, Template_lab, Template_genomics, Template_AST, Template_contributors, and Reference_data. The export function is not included in the current workbook release.</w:t>
      </w:r>
    </w:p>
    <w:p w14:paraId="0517BF48" w14:textId="77777777" w:rsidR="005D660E" w:rsidRDefault="00557DBA">
      <w:pPr>
        <w:pStyle w:val="Heading1"/>
      </w:pPr>
      <w:r>
        <w:t>3. Responsibilities</w:t>
      </w:r>
    </w:p>
    <w:p w14:paraId="7B11D0BE" w14:textId="77777777" w:rsidR="005D660E" w:rsidRDefault="00557DBA">
      <w:pPr>
        <w:rPr>
          <w:rFonts w:hint="eastAsia"/>
        </w:rPr>
      </w:pPr>
      <w:r>
        <w:t>Users are responsible for entering accurate data, selecting controlled terms where available, reviewing automatically populated values, and reporting unexpected workbook behaviour. The workbook administrator is responsible for maintaining reference lists, preserving VBA code, testing changes, and issuing updated versions.</w:t>
      </w:r>
    </w:p>
    <w:p w14:paraId="758213F0" w14:textId="77777777" w:rsidR="005D660E" w:rsidRDefault="00557DBA">
      <w:pPr>
        <w:pStyle w:val="Heading1"/>
      </w:pPr>
      <w:r>
        <w:t>4. System requirements and workbook preparation</w:t>
      </w:r>
    </w:p>
    <w:p w14:paraId="1A43D567" w14:textId="77777777" w:rsidR="005D660E" w:rsidRDefault="00557DBA">
      <w:pPr>
        <w:pStyle w:val="ListBullet"/>
        <w:rPr>
          <w:rFonts w:hint="eastAsia"/>
        </w:rPr>
      </w:pPr>
      <w:r>
        <w:t>Use the desktop version of Microsoft Excel that supports VBA macros.</w:t>
      </w:r>
    </w:p>
    <w:p w14:paraId="375E8398" w14:textId="77777777" w:rsidR="005D660E" w:rsidRDefault="00557DBA">
      <w:pPr>
        <w:pStyle w:val="ListBullet"/>
        <w:rPr>
          <w:rFonts w:hint="eastAsia"/>
        </w:rPr>
      </w:pPr>
      <w:r>
        <w:t>Store and open the file as a macro-enabled workbook (.xlsm).</w:t>
      </w:r>
    </w:p>
    <w:p w14:paraId="3FEB3A62" w14:textId="77777777" w:rsidR="005D660E" w:rsidRDefault="00557DBA">
      <w:pPr>
        <w:pStyle w:val="ListBullet"/>
        <w:rPr>
          <w:rFonts w:hint="eastAsia"/>
        </w:rPr>
      </w:pPr>
      <w:r>
        <w:t>Enable macros when prompted. Automated functionality will not operate if macros are disabled.</w:t>
      </w:r>
    </w:p>
    <w:p w14:paraId="3E2B851D" w14:textId="77777777" w:rsidR="005D660E" w:rsidRDefault="00557DBA">
      <w:pPr>
        <w:pStyle w:val="ListBullet"/>
        <w:rPr>
          <w:rFonts w:hint="eastAsia"/>
        </w:rPr>
      </w:pPr>
      <w:r>
        <w:t>Do not rename template sheets or VBA modules unless the workbook administrator has tested the change.</w:t>
      </w:r>
    </w:p>
    <w:p w14:paraId="269E7643" w14:textId="77777777" w:rsidR="005D660E" w:rsidRDefault="00557DBA">
      <w:pPr>
        <w:pStyle w:val="ListBullet"/>
        <w:rPr>
          <w:rFonts w:hint="eastAsia"/>
        </w:rPr>
      </w:pPr>
      <w:r>
        <w:t>Do not change row 1 field headers without updating the associated VBA or Reference_data headings.</w:t>
      </w:r>
    </w:p>
    <w:p w14:paraId="282BC22E" w14:textId="77777777" w:rsidR="005D660E" w:rsidRDefault="00557DBA">
      <w:pPr>
        <w:pStyle w:val="ListBullet"/>
        <w:rPr>
          <w:rFonts w:hint="eastAsia"/>
        </w:rPr>
      </w:pPr>
      <w:r>
        <w:t>Enter one record per row. The same row should represent the same record across linked template sheets.</w:t>
      </w:r>
    </w:p>
    <w:p w14:paraId="31C53062" w14:textId="77777777" w:rsidR="005D660E" w:rsidRDefault="00557DBA">
      <w:pPr>
        <w:pStyle w:val="Heading1"/>
      </w:pPr>
      <w:r>
        <w:t>5. Workbook structure</w:t>
      </w:r>
    </w:p>
    <w:tbl>
      <w:tblPr>
        <w:tblStyle w:val="TableGrid"/>
        <w:tblW w:w="0" w:type="auto"/>
        <w:jc w:val="center"/>
        <w:tblLook w:val="04A0" w:firstRow="1" w:lastRow="0" w:firstColumn="1" w:lastColumn="0" w:noHBand="0" w:noVBand="1"/>
      </w:tblPr>
      <w:tblGrid>
        <w:gridCol w:w="4896"/>
        <w:gridCol w:w="4896"/>
      </w:tblGrid>
      <w:tr w:rsidR="005D660E" w14:paraId="33EE5841" w14:textId="77777777">
        <w:trPr>
          <w:jc w:val="center"/>
        </w:trPr>
        <w:tc>
          <w:tcPr>
            <w:tcW w:w="4896" w:type="dxa"/>
            <w:shd w:val="clear" w:color="auto" w:fill="D9EAF7"/>
            <w:vAlign w:val="center"/>
          </w:tcPr>
          <w:p w14:paraId="74DDF8FD" w14:textId="77777777" w:rsidR="005D660E" w:rsidRDefault="00557DBA">
            <w:pPr>
              <w:rPr>
                <w:rFonts w:hint="eastAsia"/>
              </w:rPr>
            </w:pPr>
            <w:r>
              <w:rPr>
                <w:b/>
                <w:sz w:val="20"/>
              </w:rPr>
              <w:t>Sheet</w:t>
            </w:r>
          </w:p>
        </w:tc>
        <w:tc>
          <w:tcPr>
            <w:tcW w:w="4896" w:type="dxa"/>
            <w:shd w:val="clear" w:color="auto" w:fill="D9EAF7"/>
            <w:vAlign w:val="center"/>
          </w:tcPr>
          <w:p w14:paraId="02A5F681" w14:textId="77777777" w:rsidR="005D660E" w:rsidRDefault="00557DBA">
            <w:pPr>
              <w:rPr>
                <w:rFonts w:hint="eastAsia"/>
              </w:rPr>
            </w:pPr>
            <w:r>
              <w:rPr>
                <w:b/>
                <w:sz w:val="20"/>
              </w:rPr>
              <w:t>Primary purpose</w:t>
            </w:r>
          </w:p>
        </w:tc>
      </w:tr>
      <w:tr w:rsidR="005D660E" w14:paraId="1EE5C57B" w14:textId="77777777">
        <w:trPr>
          <w:jc w:val="center"/>
        </w:trPr>
        <w:tc>
          <w:tcPr>
            <w:tcW w:w="4896" w:type="dxa"/>
            <w:vAlign w:val="center"/>
          </w:tcPr>
          <w:p w14:paraId="59BC8197" w14:textId="77777777" w:rsidR="005D660E" w:rsidRDefault="00557DBA">
            <w:pPr>
              <w:rPr>
                <w:rFonts w:hint="eastAsia"/>
              </w:rPr>
            </w:pPr>
            <w:r>
              <w:rPr>
                <w:sz w:val="20"/>
              </w:rPr>
              <w:t>Template_facility</w:t>
            </w:r>
          </w:p>
        </w:tc>
        <w:tc>
          <w:tcPr>
            <w:tcW w:w="4896" w:type="dxa"/>
            <w:vAlign w:val="center"/>
          </w:tcPr>
          <w:p w14:paraId="2FC475BE" w14:textId="77777777" w:rsidR="005D660E" w:rsidRDefault="00557DBA">
            <w:pPr>
              <w:rPr>
                <w:rFonts w:hint="eastAsia"/>
              </w:rPr>
            </w:pPr>
            <w:r>
              <w:rPr>
                <w:sz w:val="20"/>
              </w:rPr>
              <w:t xml:space="preserve">Facility and specimen-source information, including </w:t>
            </w:r>
            <w:r>
              <w:rPr>
                <w:sz w:val="20"/>
              </w:rPr>
              <w:lastRenderedPageBreak/>
              <w:t>the controlling specimen source material category field.</w:t>
            </w:r>
          </w:p>
        </w:tc>
      </w:tr>
      <w:tr w:rsidR="005D660E" w14:paraId="0019E011" w14:textId="77777777">
        <w:trPr>
          <w:jc w:val="center"/>
        </w:trPr>
        <w:tc>
          <w:tcPr>
            <w:tcW w:w="4896" w:type="dxa"/>
            <w:vAlign w:val="center"/>
          </w:tcPr>
          <w:p w14:paraId="6FD5AFC9" w14:textId="77777777" w:rsidR="005D660E" w:rsidRDefault="00557DBA">
            <w:pPr>
              <w:rPr>
                <w:rFonts w:hint="eastAsia"/>
              </w:rPr>
            </w:pPr>
            <w:r>
              <w:rPr>
                <w:sz w:val="20"/>
              </w:rPr>
              <w:lastRenderedPageBreak/>
              <w:t>Template_clinical</w:t>
            </w:r>
          </w:p>
        </w:tc>
        <w:tc>
          <w:tcPr>
            <w:tcW w:w="4896" w:type="dxa"/>
            <w:vAlign w:val="center"/>
          </w:tcPr>
          <w:p w14:paraId="73C5A362" w14:textId="77777777" w:rsidR="005D660E" w:rsidRDefault="00557DBA">
            <w:pPr>
              <w:rPr>
                <w:rFonts w:hint="eastAsia"/>
              </w:rPr>
            </w:pPr>
            <w:r>
              <w:rPr>
                <w:sz w:val="20"/>
              </w:rPr>
              <w:t>Clinical, demographic, pregnancy, obstetric, date, and outcome information.</w:t>
            </w:r>
          </w:p>
        </w:tc>
      </w:tr>
      <w:tr w:rsidR="005D660E" w14:paraId="3C3BF30D" w14:textId="77777777">
        <w:trPr>
          <w:jc w:val="center"/>
        </w:trPr>
        <w:tc>
          <w:tcPr>
            <w:tcW w:w="4896" w:type="dxa"/>
            <w:vAlign w:val="center"/>
          </w:tcPr>
          <w:p w14:paraId="7BB58A38" w14:textId="77777777" w:rsidR="005D660E" w:rsidRDefault="00557DBA">
            <w:pPr>
              <w:rPr>
                <w:rFonts w:hint="eastAsia"/>
              </w:rPr>
            </w:pPr>
            <w:r>
              <w:rPr>
                <w:sz w:val="20"/>
              </w:rPr>
              <w:t>Template_lab</w:t>
            </w:r>
          </w:p>
        </w:tc>
        <w:tc>
          <w:tcPr>
            <w:tcW w:w="4896" w:type="dxa"/>
            <w:vAlign w:val="center"/>
          </w:tcPr>
          <w:p w14:paraId="7E848053" w14:textId="77777777" w:rsidR="005D660E" w:rsidRDefault="00557DBA">
            <w:pPr>
              <w:rPr>
                <w:rFonts w:hint="eastAsia"/>
              </w:rPr>
            </w:pPr>
            <w:r>
              <w:rPr>
                <w:sz w:val="20"/>
              </w:rPr>
              <w:t>Laboratory and organism-related metadata. Receives selected values from linked source sheets.</w:t>
            </w:r>
          </w:p>
        </w:tc>
      </w:tr>
      <w:tr w:rsidR="005D660E" w14:paraId="1B22B692" w14:textId="77777777">
        <w:trPr>
          <w:jc w:val="center"/>
        </w:trPr>
        <w:tc>
          <w:tcPr>
            <w:tcW w:w="4896" w:type="dxa"/>
            <w:vAlign w:val="center"/>
          </w:tcPr>
          <w:p w14:paraId="62E82026" w14:textId="77777777" w:rsidR="005D660E" w:rsidRDefault="00557DBA">
            <w:pPr>
              <w:rPr>
                <w:rFonts w:hint="eastAsia"/>
              </w:rPr>
            </w:pPr>
            <w:r>
              <w:rPr>
                <w:sz w:val="20"/>
              </w:rPr>
              <w:t>Template_genomics</w:t>
            </w:r>
          </w:p>
        </w:tc>
        <w:tc>
          <w:tcPr>
            <w:tcW w:w="4896" w:type="dxa"/>
            <w:vAlign w:val="center"/>
          </w:tcPr>
          <w:p w14:paraId="7E263741" w14:textId="77777777" w:rsidR="005D660E" w:rsidRDefault="00557DBA">
            <w:pPr>
              <w:rPr>
                <w:rFonts w:hint="eastAsia"/>
              </w:rPr>
            </w:pPr>
            <w:r>
              <w:rPr>
                <w:sz w:val="20"/>
              </w:rPr>
              <w:t>Genomics and sequencing information, including sequencing date and dependent pathogen/organism picklists.</w:t>
            </w:r>
          </w:p>
        </w:tc>
      </w:tr>
      <w:tr w:rsidR="005D660E" w14:paraId="29D6237E" w14:textId="77777777">
        <w:trPr>
          <w:jc w:val="center"/>
        </w:trPr>
        <w:tc>
          <w:tcPr>
            <w:tcW w:w="4896" w:type="dxa"/>
            <w:vAlign w:val="center"/>
          </w:tcPr>
          <w:p w14:paraId="1DC2BF8E" w14:textId="77777777" w:rsidR="005D660E" w:rsidRDefault="00557DBA">
            <w:pPr>
              <w:rPr>
                <w:rFonts w:hint="eastAsia"/>
              </w:rPr>
            </w:pPr>
            <w:r>
              <w:rPr>
                <w:sz w:val="20"/>
              </w:rPr>
              <w:t>Template_AST</w:t>
            </w:r>
          </w:p>
        </w:tc>
        <w:tc>
          <w:tcPr>
            <w:tcW w:w="4896" w:type="dxa"/>
            <w:vAlign w:val="center"/>
          </w:tcPr>
          <w:p w14:paraId="533B6D1F" w14:textId="77777777" w:rsidR="005D660E" w:rsidRDefault="00557DBA">
            <w:pPr>
              <w:rPr>
                <w:rFonts w:hint="eastAsia"/>
              </w:rPr>
            </w:pPr>
            <w:r>
              <w:rPr>
                <w:sz w:val="20"/>
              </w:rPr>
              <w:t>Antimicrobial susceptibility testing information, including repeated AST blocks and numbered date fields.</w:t>
            </w:r>
          </w:p>
        </w:tc>
      </w:tr>
      <w:tr w:rsidR="005D660E" w14:paraId="74EDA2ED" w14:textId="77777777">
        <w:trPr>
          <w:jc w:val="center"/>
        </w:trPr>
        <w:tc>
          <w:tcPr>
            <w:tcW w:w="4896" w:type="dxa"/>
            <w:vAlign w:val="center"/>
          </w:tcPr>
          <w:p w14:paraId="171C5B76" w14:textId="77777777" w:rsidR="005D660E" w:rsidRDefault="00557DBA">
            <w:pPr>
              <w:rPr>
                <w:rFonts w:hint="eastAsia"/>
              </w:rPr>
            </w:pPr>
            <w:r>
              <w:rPr>
                <w:sz w:val="20"/>
              </w:rPr>
              <w:t>Template_contributors</w:t>
            </w:r>
          </w:p>
        </w:tc>
        <w:tc>
          <w:tcPr>
            <w:tcW w:w="4896" w:type="dxa"/>
            <w:vAlign w:val="center"/>
          </w:tcPr>
          <w:p w14:paraId="35ED8AAB" w14:textId="77777777" w:rsidR="005D660E" w:rsidRDefault="00557DBA">
            <w:pPr>
              <w:rPr>
                <w:rFonts w:hint="eastAsia"/>
              </w:rPr>
            </w:pPr>
            <w:r>
              <w:rPr>
                <w:sz w:val="20"/>
              </w:rPr>
              <w:t>Record-level contributor information. Row alignment must match the same record in the other template sheets.</w:t>
            </w:r>
          </w:p>
        </w:tc>
      </w:tr>
      <w:tr w:rsidR="005D660E" w14:paraId="07277A23" w14:textId="77777777">
        <w:trPr>
          <w:jc w:val="center"/>
        </w:trPr>
        <w:tc>
          <w:tcPr>
            <w:tcW w:w="4896" w:type="dxa"/>
            <w:vAlign w:val="center"/>
          </w:tcPr>
          <w:p w14:paraId="5B905203" w14:textId="77777777" w:rsidR="005D660E" w:rsidRDefault="00557DBA">
            <w:pPr>
              <w:rPr>
                <w:rFonts w:hint="eastAsia"/>
              </w:rPr>
            </w:pPr>
            <w:r>
              <w:rPr>
                <w:sz w:val="20"/>
              </w:rPr>
              <w:t>Reference_data</w:t>
            </w:r>
          </w:p>
        </w:tc>
        <w:tc>
          <w:tcPr>
            <w:tcW w:w="4896" w:type="dxa"/>
            <w:vAlign w:val="center"/>
          </w:tcPr>
          <w:p w14:paraId="4AA716EE" w14:textId="5DBD08DA" w:rsidR="005D660E" w:rsidRDefault="00557DBA">
            <w:pPr>
              <w:rPr>
                <w:rFonts w:hint="eastAsia"/>
              </w:rPr>
            </w:pPr>
            <w:r>
              <w:rPr>
                <w:sz w:val="20"/>
              </w:rPr>
              <w:t xml:space="preserve">Controlled lists used to create picklists and dependent organism lists. </w:t>
            </w:r>
            <w:r w:rsidRPr="003155BA">
              <w:rPr>
                <w:b/>
                <w:bCs/>
                <w:sz w:val="20"/>
              </w:rPr>
              <w:t>This sheet is maintained by the workbook administrator.</w:t>
            </w:r>
            <w:r w:rsidR="003155BA">
              <w:rPr>
                <w:b/>
                <w:bCs/>
                <w:sz w:val="20"/>
              </w:rPr>
              <w:t xml:space="preserve"> Please do not make changes to this sheet.</w:t>
            </w:r>
          </w:p>
        </w:tc>
      </w:tr>
    </w:tbl>
    <w:p w14:paraId="108543BF" w14:textId="77777777" w:rsidR="005D660E" w:rsidRDefault="00557DBA">
      <w:pPr>
        <w:pStyle w:val="Heading1"/>
      </w:pPr>
      <w:r>
        <w:t>6. General data-entry procedure</w:t>
      </w:r>
    </w:p>
    <w:p w14:paraId="63849E3F" w14:textId="77777777" w:rsidR="005D660E" w:rsidRDefault="00557DBA">
      <w:pPr>
        <w:rPr>
          <w:rFonts w:hint="eastAsia"/>
        </w:rPr>
      </w:pPr>
      <w:r>
        <w:t>1. Open the .xlsm workbook and select Enable Content or Enable Macros if prompted.</w:t>
      </w:r>
    </w:p>
    <w:p w14:paraId="71B7C900" w14:textId="77777777" w:rsidR="005D660E" w:rsidRDefault="00557DBA">
      <w:pPr>
        <w:rPr>
          <w:rFonts w:hint="eastAsia"/>
        </w:rPr>
      </w:pPr>
      <w:r>
        <w:t>2. Begin data entry in row 2. Use one row per record and retain the same row for the same record across linked sheets.</w:t>
      </w:r>
    </w:p>
    <w:p w14:paraId="32A6F757" w14:textId="77777777" w:rsidR="005D660E" w:rsidRDefault="00557DBA">
      <w:pPr>
        <w:rPr>
          <w:rFonts w:hint="eastAsia"/>
        </w:rPr>
      </w:pPr>
      <w:r>
        <w:t>3. Use dropdown arrows where picklists are provided. Avoid typing alternative spellings when a controlled term is available.</w:t>
      </w:r>
    </w:p>
    <w:p w14:paraId="4A6BA5A3" w14:textId="77777777" w:rsidR="005D660E" w:rsidRDefault="00557DBA">
      <w:pPr>
        <w:rPr>
          <w:rFonts w:hint="eastAsia"/>
        </w:rPr>
      </w:pPr>
      <w:r>
        <w:t>4. Check fields that populate automatically in another sheet. Do not overwrite an automatically populated value unless the workbook design specifically allows it.</w:t>
      </w:r>
    </w:p>
    <w:p w14:paraId="1EBE40AC" w14:textId="77777777" w:rsidR="005D660E" w:rsidRDefault="00557DBA">
      <w:pPr>
        <w:rPr>
          <w:rFonts w:hint="eastAsia"/>
        </w:rPr>
      </w:pPr>
      <w:r>
        <w:t>5. Do not enter data into grey cells. Grey cells are not applicable for the selected record context.</w:t>
      </w:r>
    </w:p>
    <w:p w14:paraId="03C3D3E4" w14:textId="77777777" w:rsidR="005D660E" w:rsidRDefault="00557DBA">
      <w:pPr>
        <w:rPr>
          <w:rFonts w:hint="eastAsia"/>
        </w:rPr>
      </w:pPr>
      <w:r>
        <w:t>6. Save the workbook regularly using the .xlsm format.</w:t>
      </w:r>
    </w:p>
    <w:p w14:paraId="0AA4774C" w14:textId="77777777" w:rsidR="005D660E" w:rsidRDefault="00557DBA">
      <w:pPr>
        <w:pStyle w:val="Heading1"/>
      </w:pPr>
      <w:r>
        <w:t>7. Automated picklists</w:t>
      </w:r>
    </w:p>
    <w:p w14:paraId="62814B31" w14:textId="77777777" w:rsidR="005D660E" w:rsidRDefault="00557DBA">
      <w:pPr>
        <w:rPr>
          <w:rFonts w:hint="eastAsia"/>
        </w:rPr>
      </w:pPr>
      <w:r>
        <w:t>On workbook opening, VBA matches field headers in the template sheets to identical headers in Reference_data and applies the corresponding list as a dropdown. Header matching is case-insensitive and is designed to tolerate common formatting differences such as spaces and underscores.</w:t>
      </w:r>
    </w:p>
    <w:p w14:paraId="152E7391" w14:textId="77777777" w:rsidR="005D660E" w:rsidRDefault="00557DBA">
      <w:pPr>
        <w:rPr>
          <w:rFonts w:hint="eastAsia"/>
        </w:rPr>
      </w:pPr>
      <w:r>
        <w:t>The organism field in Template_lab and Template_genomics is excluded from the ordinary header-matched picklist routine because it is controlled by the dependent pathogen-type logic described below.</w:t>
      </w:r>
    </w:p>
    <w:p w14:paraId="32143035" w14:textId="77777777" w:rsidR="005D660E" w:rsidRDefault="00557DBA">
      <w:pPr>
        <w:pStyle w:val="Heading1"/>
      </w:pPr>
      <w:r>
        <w:t>8. Cross-sheet synchronisation</w:t>
      </w:r>
    </w:p>
    <w:p w14:paraId="4B8A3360" w14:textId="77777777" w:rsidR="005D660E" w:rsidRDefault="00557DBA">
      <w:pPr>
        <w:rPr>
          <w:rFonts w:hint="eastAsia"/>
        </w:rPr>
      </w:pPr>
      <w:r>
        <w:t>Selected fields are copied automatically to corresponding fields in linked sheets. Current confirmed examples include:</w:t>
      </w:r>
    </w:p>
    <w:p w14:paraId="0FE1C6B7" w14:textId="77777777" w:rsidR="005D660E" w:rsidRDefault="00557DBA">
      <w:pPr>
        <w:pStyle w:val="ListBullet"/>
        <w:rPr>
          <w:rFonts w:hint="eastAsia"/>
        </w:rPr>
      </w:pPr>
      <w:r>
        <w:t>specimen source material category: Template_facility → Template_lab</w:t>
      </w:r>
    </w:p>
    <w:p w14:paraId="63910FFA" w14:textId="77777777" w:rsidR="005D660E" w:rsidRDefault="00557DBA">
      <w:pPr>
        <w:pStyle w:val="ListBullet"/>
        <w:rPr>
          <w:rFonts w:hint="eastAsia"/>
        </w:rPr>
      </w:pPr>
      <w:r>
        <w:lastRenderedPageBreak/>
        <w:t>sample collection date: Template_clinical → Template_lab</w:t>
      </w:r>
    </w:p>
    <w:p w14:paraId="4F1EDE2F" w14:textId="77777777" w:rsidR="005D660E" w:rsidRDefault="00557DBA">
      <w:pPr>
        <w:rPr>
          <w:rFonts w:hint="eastAsia"/>
        </w:rPr>
      </w:pPr>
      <w:r>
        <w:t>The complete selected value is copied, including any ontology identifier shown in square brackets. Clearing a source value should also clear the corresponding destination value where the synchronisation rule supports deletion propagation.</w:t>
      </w:r>
    </w:p>
    <w:p w14:paraId="6E3E8E48" w14:textId="77777777" w:rsidR="005D660E" w:rsidRDefault="00557DBA">
      <w:pPr>
        <w:pStyle w:val="Heading1"/>
      </w:pPr>
      <w:r>
        <w:t>9. Conditional fields based on specimen source material category</w:t>
      </w:r>
    </w:p>
    <w:p w14:paraId="70E55EDB" w14:textId="77777777" w:rsidR="005D660E" w:rsidRDefault="00557DBA">
      <w:pPr>
        <w:rPr>
          <w:rFonts w:hint="eastAsia"/>
        </w:rPr>
      </w:pPr>
      <w:r>
        <w:t>The selection in specimen source material category on Template_facility controls which fields are applicable in the same row. Irrelevant fields are cleared and displayed with a grey fill.</w:t>
      </w:r>
    </w:p>
    <w:tbl>
      <w:tblPr>
        <w:tblStyle w:val="TableGrid"/>
        <w:tblW w:w="0" w:type="auto"/>
        <w:jc w:val="center"/>
        <w:tblLook w:val="04A0" w:firstRow="1" w:lastRow="0" w:firstColumn="1" w:lastColumn="0" w:noHBand="0" w:noVBand="1"/>
      </w:tblPr>
      <w:tblGrid>
        <w:gridCol w:w="4896"/>
        <w:gridCol w:w="4896"/>
      </w:tblGrid>
      <w:tr w:rsidR="005D660E" w14:paraId="2617031B" w14:textId="77777777">
        <w:trPr>
          <w:jc w:val="center"/>
        </w:trPr>
        <w:tc>
          <w:tcPr>
            <w:tcW w:w="4896" w:type="dxa"/>
            <w:shd w:val="clear" w:color="auto" w:fill="D9EAF7"/>
            <w:vAlign w:val="center"/>
          </w:tcPr>
          <w:p w14:paraId="2A74FDC2" w14:textId="77777777" w:rsidR="005D660E" w:rsidRDefault="00557DBA">
            <w:pPr>
              <w:rPr>
                <w:rFonts w:hint="eastAsia"/>
              </w:rPr>
            </w:pPr>
            <w:r>
              <w:rPr>
                <w:b/>
                <w:sz w:val="20"/>
              </w:rPr>
              <w:t>Selected category</w:t>
            </w:r>
          </w:p>
        </w:tc>
        <w:tc>
          <w:tcPr>
            <w:tcW w:w="4896" w:type="dxa"/>
            <w:shd w:val="clear" w:color="auto" w:fill="D9EAF7"/>
            <w:vAlign w:val="center"/>
          </w:tcPr>
          <w:p w14:paraId="6537BB3D" w14:textId="77777777" w:rsidR="005D660E" w:rsidRDefault="00557DBA">
            <w:pPr>
              <w:rPr>
                <w:rFonts w:hint="eastAsia"/>
              </w:rPr>
            </w:pPr>
            <w:r>
              <w:rPr>
                <w:b/>
                <w:sz w:val="20"/>
              </w:rPr>
              <w:t>Fields made not applicable</w:t>
            </w:r>
          </w:p>
        </w:tc>
      </w:tr>
      <w:tr w:rsidR="005D660E" w14:paraId="21B8486B" w14:textId="77777777">
        <w:trPr>
          <w:jc w:val="center"/>
        </w:trPr>
        <w:tc>
          <w:tcPr>
            <w:tcW w:w="4896" w:type="dxa"/>
            <w:vAlign w:val="center"/>
          </w:tcPr>
          <w:p w14:paraId="5BDEE485" w14:textId="77777777" w:rsidR="005D660E" w:rsidRDefault="00557DBA">
            <w:pPr>
              <w:rPr>
                <w:rFonts w:hint="eastAsia"/>
              </w:rPr>
            </w:pPr>
            <w:r>
              <w:rPr>
                <w:sz w:val="20"/>
              </w:rPr>
              <w:t>Human clinical specimen[GENEPIO:0001731]</w:t>
            </w:r>
          </w:p>
        </w:tc>
        <w:tc>
          <w:tcPr>
            <w:tcW w:w="4896" w:type="dxa"/>
            <w:vAlign w:val="center"/>
          </w:tcPr>
          <w:p w14:paraId="10F1A79F" w14:textId="77777777" w:rsidR="005D660E" w:rsidRDefault="00557DBA">
            <w:pPr>
              <w:rPr>
                <w:rFonts w:hint="eastAsia"/>
              </w:rPr>
            </w:pPr>
            <w:r>
              <w:rPr>
                <w:sz w:val="20"/>
              </w:rPr>
              <w:t>environmental material; environmental material details</w:t>
            </w:r>
          </w:p>
        </w:tc>
      </w:tr>
      <w:tr w:rsidR="005D660E" w14:paraId="7A899ACF" w14:textId="77777777">
        <w:trPr>
          <w:jc w:val="center"/>
        </w:trPr>
        <w:tc>
          <w:tcPr>
            <w:tcW w:w="4896" w:type="dxa"/>
            <w:vAlign w:val="center"/>
          </w:tcPr>
          <w:p w14:paraId="35BEF98D" w14:textId="77777777" w:rsidR="005D660E" w:rsidRDefault="00557DBA">
            <w:pPr>
              <w:rPr>
                <w:rFonts w:hint="eastAsia"/>
              </w:rPr>
            </w:pPr>
            <w:r>
              <w:rPr>
                <w:sz w:val="20"/>
              </w:rPr>
              <w:t>Environmental (Healthcare setting)[SCDO:1000355]</w:t>
            </w:r>
          </w:p>
        </w:tc>
        <w:tc>
          <w:tcPr>
            <w:tcW w:w="4896" w:type="dxa"/>
            <w:vAlign w:val="center"/>
          </w:tcPr>
          <w:p w14:paraId="7A787767" w14:textId="77777777" w:rsidR="005D660E" w:rsidRDefault="00557DBA">
            <w:pPr>
              <w:rPr>
                <w:rFonts w:hint="eastAsia"/>
              </w:rPr>
            </w:pPr>
            <w:r>
              <w:rPr>
                <w:sz w:val="20"/>
              </w:rPr>
              <w:t>biospecimen type; anatomical part</w:t>
            </w:r>
          </w:p>
        </w:tc>
      </w:tr>
      <w:tr w:rsidR="005D660E" w14:paraId="25538DCB" w14:textId="77777777">
        <w:trPr>
          <w:jc w:val="center"/>
        </w:trPr>
        <w:tc>
          <w:tcPr>
            <w:tcW w:w="4896" w:type="dxa"/>
            <w:vAlign w:val="center"/>
          </w:tcPr>
          <w:p w14:paraId="0C04E2BA" w14:textId="77777777" w:rsidR="005D660E" w:rsidRDefault="00557DBA">
            <w:pPr>
              <w:rPr>
                <w:rFonts w:hint="eastAsia"/>
              </w:rPr>
            </w:pPr>
            <w:r>
              <w:rPr>
                <w:sz w:val="20"/>
              </w:rPr>
              <w:t>Environmental (Community setting)</w:t>
            </w:r>
          </w:p>
        </w:tc>
        <w:tc>
          <w:tcPr>
            <w:tcW w:w="4896" w:type="dxa"/>
            <w:vAlign w:val="center"/>
          </w:tcPr>
          <w:p w14:paraId="327A9FDC" w14:textId="77777777" w:rsidR="005D660E" w:rsidRDefault="00557DBA">
            <w:pPr>
              <w:rPr>
                <w:rFonts w:hint="eastAsia"/>
              </w:rPr>
            </w:pPr>
            <w:r>
              <w:rPr>
                <w:sz w:val="20"/>
              </w:rPr>
              <w:t>biospecimen type; anatomical part; healthcare facility name; type of facility; healthcare facility size; number of total neonatal beds</w:t>
            </w:r>
          </w:p>
        </w:tc>
      </w:tr>
      <w:tr w:rsidR="005D660E" w14:paraId="6B07588D" w14:textId="77777777">
        <w:trPr>
          <w:jc w:val="center"/>
        </w:trPr>
        <w:tc>
          <w:tcPr>
            <w:tcW w:w="4896" w:type="dxa"/>
            <w:vAlign w:val="center"/>
          </w:tcPr>
          <w:p w14:paraId="11737A8B" w14:textId="77777777" w:rsidR="005D660E" w:rsidRDefault="00557DBA">
            <w:pPr>
              <w:rPr>
                <w:rFonts w:hint="eastAsia"/>
              </w:rPr>
            </w:pPr>
            <w:r>
              <w:rPr>
                <w:sz w:val="20"/>
              </w:rPr>
              <w:t>Null or non-specific values</w:t>
            </w:r>
          </w:p>
        </w:tc>
        <w:tc>
          <w:tcPr>
            <w:tcW w:w="4896" w:type="dxa"/>
            <w:vAlign w:val="center"/>
          </w:tcPr>
          <w:p w14:paraId="1630D927" w14:textId="77777777" w:rsidR="005D660E" w:rsidRDefault="00557DBA">
            <w:pPr>
              <w:rPr>
                <w:rFonts w:hint="eastAsia"/>
              </w:rPr>
            </w:pPr>
            <w:r>
              <w:rPr>
                <w:sz w:val="20"/>
              </w:rPr>
              <w:t>No additional conditional greying is applied.</w:t>
            </w:r>
          </w:p>
        </w:tc>
      </w:tr>
    </w:tbl>
    <w:p w14:paraId="13DCF995" w14:textId="77777777" w:rsidR="005D660E" w:rsidRDefault="00557DBA">
      <w:pPr>
        <w:rPr>
          <w:rFonts w:hint="eastAsia"/>
        </w:rPr>
      </w:pPr>
      <w:r>
        <w:t>When the category changes, fields that become relevant again return to normal formatting. Users should review the row after changing the category because values in newly inapplicable fields are removed.</w:t>
      </w:r>
    </w:p>
    <w:p w14:paraId="1F5F9363" w14:textId="77777777" w:rsidR="005D660E" w:rsidRDefault="00557DBA">
      <w:pPr>
        <w:pStyle w:val="Heading1"/>
      </w:pPr>
      <w:r>
        <w:t>10. Date entry and normalisation</w:t>
      </w:r>
    </w:p>
    <w:p w14:paraId="30A5F0AB" w14:textId="77777777" w:rsidR="005D660E" w:rsidRDefault="00557DBA">
      <w:pPr>
        <w:rPr>
          <w:rFonts w:hint="eastAsia"/>
        </w:rPr>
      </w:pPr>
      <w:r>
        <w:t>Recognised date fields are stored as text in ISO-compatible formats so that incomplete dates can be represented without Excel inventing a day or changing the value according to regional settings.</w:t>
      </w:r>
    </w:p>
    <w:tbl>
      <w:tblPr>
        <w:tblStyle w:val="TableGrid"/>
        <w:tblW w:w="0" w:type="auto"/>
        <w:jc w:val="center"/>
        <w:tblLook w:val="04A0" w:firstRow="1" w:lastRow="0" w:firstColumn="1" w:lastColumn="0" w:noHBand="0" w:noVBand="1"/>
      </w:tblPr>
      <w:tblGrid>
        <w:gridCol w:w="4896"/>
        <w:gridCol w:w="4896"/>
      </w:tblGrid>
      <w:tr w:rsidR="005D660E" w14:paraId="704B266A" w14:textId="77777777">
        <w:trPr>
          <w:jc w:val="center"/>
        </w:trPr>
        <w:tc>
          <w:tcPr>
            <w:tcW w:w="4896" w:type="dxa"/>
            <w:shd w:val="clear" w:color="auto" w:fill="D9EAF7"/>
            <w:vAlign w:val="center"/>
          </w:tcPr>
          <w:p w14:paraId="690E9055" w14:textId="77777777" w:rsidR="005D660E" w:rsidRDefault="00557DBA">
            <w:pPr>
              <w:rPr>
                <w:rFonts w:hint="eastAsia"/>
              </w:rPr>
            </w:pPr>
            <w:r>
              <w:rPr>
                <w:b/>
                <w:sz w:val="20"/>
              </w:rPr>
              <w:t>User entry</w:t>
            </w:r>
          </w:p>
        </w:tc>
        <w:tc>
          <w:tcPr>
            <w:tcW w:w="4896" w:type="dxa"/>
            <w:shd w:val="clear" w:color="auto" w:fill="D9EAF7"/>
            <w:vAlign w:val="center"/>
          </w:tcPr>
          <w:p w14:paraId="6EC40044" w14:textId="77777777" w:rsidR="005D660E" w:rsidRDefault="00557DBA">
            <w:pPr>
              <w:rPr>
                <w:rFonts w:hint="eastAsia"/>
              </w:rPr>
            </w:pPr>
            <w:r>
              <w:rPr>
                <w:b/>
                <w:sz w:val="20"/>
              </w:rPr>
              <w:t>Stored value</w:t>
            </w:r>
          </w:p>
        </w:tc>
      </w:tr>
      <w:tr w:rsidR="005D660E" w14:paraId="159FDD82" w14:textId="77777777">
        <w:trPr>
          <w:jc w:val="center"/>
        </w:trPr>
        <w:tc>
          <w:tcPr>
            <w:tcW w:w="4896" w:type="dxa"/>
            <w:vAlign w:val="center"/>
          </w:tcPr>
          <w:p w14:paraId="0E0D9823" w14:textId="77777777" w:rsidR="005D660E" w:rsidRDefault="00557DBA">
            <w:pPr>
              <w:rPr>
                <w:rFonts w:hint="eastAsia"/>
              </w:rPr>
            </w:pPr>
            <w:r>
              <w:rPr>
                <w:sz w:val="20"/>
              </w:rPr>
              <w:t>2026</w:t>
            </w:r>
          </w:p>
        </w:tc>
        <w:tc>
          <w:tcPr>
            <w:tcW w:w="4896" w:type="dxa"/>
            <w:vAlign w:val="center"/>
          </w:tcPr>
          <w:p w14:paraId="3A923249" w14:textId="77777777" w:rsidR="005D660E" w:rsidRDefault="00557DBA">
            <w:pPr>
              <w:rPr>
                <w:rFonts w:hint="eastAsia"/>
              </w:rPr>
            </w:pPr>
            <w:r>
              <w:rPr>
                <w:sz w:val="20"/>
              </w:rPr>
              <w:t>2026</w:t>
            </w:r>
          </w:p>
        </w:tc>
      </w:tr>
      <w:tr w:rsidR="005D660E" w14:paraId="031D538F" w14:textId="77777777">
        <w:trPr>
          <w:jc w:val="center"/>
        </w:trPr>
        <w:tc>
          <w:tcPr>
            <w:tcW w:w="4896" w:type="dxa"/>
            <w:vAlign w:val="center"/>
          </w:tcPr>
          <w:p w14:paraId="3101868A" w14:textId="77777777" w:rsidR="005D660E" w:rsidRDefault="00557DBA">
            <w:pPr>
              <w:rPr>
                <w:rFonts w:hint="eastAsia"/>
              </w:rPr>
            </w:pPr>
            <w:r>
              <w:rPr>
                <w:sz w:val="20"/>
              </w:rPr>
              <w:t>June 2025</w:t>
            </w:r>
          </w:p>
        </w:tc>
        <w:tc>
          <w:tcPr>
            <w:tcW w:w="4896" w:type="dxa"/>
            <w:vAlign w:val="center"/>
          </w:tcPr>
          <w:p w14:paraId="22932C75" w14:textId="77777777" w:rsidR="005D660E" w:rsidRDefault="00557DBA">
            <w:pPr>
              <w:rPr>
                <w:rFonts w:hint="eastAsia"/>
              </w:rPr>
            </w:pPr>
            <w:r>
              <w:rPr>
                <w:sz w:val="20"/>
              </w:rPr>
              <w:t>2025-06</w:t>
            </w:r>
          </w:p>
        </w:tc>
      </w:tr>
      <w:tr w:rsidR="005D660E" w14:paraId="5F0FCD1F" w14:textId="77777777">
        <w:trPr>
          <w:jc w:val="center"/>
        </w:trPr>
        <w:tc>
          <w:tcPr>
            <w:tcW w:w="4896" w:type="dxa"/>
            <w:vAlign w:val="center"/>
          </w:tcPr>
          <w:p w14:paraId="171B3A44" w14:textId="77777777" w:rsidR="005D660E" w:rsidRDefault="00557DBA">
            <w:pPr>
              <w:rPr>
                <w:rFonts w:hint="eastAsia"/>
              </w:rPr>
            </w:pPr>
            <w:r>
              <w:rPr>
                <w:sz w:val="20"/>
              </w:rPr>
              <w:t>1 June 2004</w:t>
            </w:r>
          </w:p>
        </w:tc>
        <w:tc>
          <w:tcPr>
            <w:tcW w:w="4896" w:type="dxa"/>
            <w:vAlign w:val="center"/>
          </w:tcPr>
          <w:p w14:paraId="0A9707B8" w14:textId="77777777" w:rsidR="005D660E" w:rsidRDefault="00557DBA">
            <w:pPr>
              <w:rPr>
                <w:rFonts w:hint="eastAsia"/>
              </w:rPr>
            </w:pPr>
            <w:r>
              <w:rPr>
                <w:sz w:val="20"/>
              </w:rPr>
              <w:t>2004-06-01</w:t>
            </w:r>
          </w:p>
        </w:tc>
      </w:tr>
      <w:tr w:rsidR="005D660E" w14:paraId="32E8D6EC" w14:textId="77777777">
        <w:trPr>
          <w:jc w:val="center"/>
        </w:trPr>
        <w:tc>
          <w:tcPr>
            <w:tcW w:w="4896" w:type="dxa"/>
            <w:vAlign w:val="center"/>
          </w:tcPr>
          <w:p w14:paraId="7C3D0FB3" w14:textId="77777777" w:rsidR="005D660E" w:rsidRDefault="00557DBA">
            <w:pPr>
              <w:rPr>
                <w:rFonts w:hint="eastAsia"/>
              </w:rPr>
            </w:pPr>
            <w:r>
              <w:rPr>
                <w:sz w:val="20"/>
              </w:rPr>
              <w:t>June 1, 2004</w:t>
            </w:r>
          </w:p>
        </w:tc>
        <w:tc>
          <w:tcPr>
            <w:tcW w:w="4896" w:type="dxa"/>
            <w:vAlign w:val="center"/>
          </w:tcPr>
          <w:p w14:paraId="4D904661" w14:textId="77777777" w:rsidR="005D660E" w:rsidRDefault="00557DBA">
            <w:pPr>
              <w:rPr>
                <w:rFonts w:hint="eastAsia"/>
              </w:rPr>
            </w:pPr>
            <w:r>
              <w:rPr>
                <w:sz w:val="20"/>
              </w:rPr>
              <w:t>2004-06-01</w:t>
            </w:r>
          </w:p>
        </w:tc>
      </w:tr>
      <w:tr w:rsidR="005D660E" w14:paraId="7CCD60CE" w14:textId="77777777">
        <w:trPr>
          <w:jc w:val="center"/>
        </w:trPr>
        <w:tc>
          <w:tcPr>
            <w:tcW w:w="4896" w:type="dxa"/>
            <w:vAlign w:val="center"/>
          </w:tcPr>
          <w:p w14:paraId="2989F3DA" w14:textId="77777777" w:rsidR="005D660E" w:rsidRDefault="00557DBA">
            <w:pPr>
              <w:rPr>
                <w:rFonts w:hint="eastAsia"/>
              </w:rPr>
            </w:pPr>
            <w:r>
              <w:rPr>
                <w:sz w:val="20"/>
              </w:rPr>
              <w:t>2004/06/01</w:t>
            </w:r>
          </w:p>
        </w:tc>
        <w:tc>
          <w:tcPr>
            <w:tcW w:w="4896" w:type="dxa"/>
            <w:vAlign w:val="center"/>
          </w:tcPr>
          <w:p w14:paraId="2C5CBD0D" w14:textId="77777777" w:rsidR="005D660E" w:rsidRDefault="00557DBA">
            <w:pPr>
              <w:rPr>
                <w:rFonts w:hint="eastAsia"/>
              </w:rPr>
            </w:pPr>
            <w:r>
              <w:rPr>
                <w:sz w:val="20"/>
              </w:rPr>
              <w:t>2004-06-01</w:t>
            </w:r>
          </w:p>
        </w:tc>
      </w:tr>
    </w:tbl>
    <w:p w14:paraId="6E07AACE" w14:textId="77777777" w:rsidR="005D660E" w:rsidRDefault="00557DBA">
      <w:pPr>
        <w:rPr>
          <w:rFonts w:hint="eastAsia"/>
        </w:rPr>
      </w:pPr>
      <w:r>
        <w:t>Current recognised date headers include date of birth, hospital admission date, date of procedure, sample collection date, date of outcome, sequencing date, AST testing date_1, and AST testing date_2. The numbered AST fields are independent and do not populate one another.</w:t>
      </w:r>
    </w:p>
    <w:p w14:paraId="3730974C" w14:textId="77777777" w:rsidR="005D660E" w:rsidRDefault="00557DBA">
      <w:pPr>
        <w:rPr>
          <w:rFonts w:hint="eastAsia"/>
        </w:rPr>
      </w:pPr>
      <w:r>
        <w:t>Controlled null terms such as Missing, Not Applicable, Not Collected, Not Provided, and Restricted Access may be used where available in the associated picklist.</w:t>
      </w:r>
    </w:p>
    <w:p w14:paraId="5E291F31" w14:textId="77777777" w:rsidR="005D660E" w:rsidRDefault="00557DBA">
      <w:pPr>
        <w:pStyle w:val="Heading1"/>
      </w:pPr>
      <w:r>
        <w:t>11. Date calculations</w:t>
      </w:r>
    </w:p>
    <w:p w14:paraId="6A9E79CF" w14:textId="77777777" w:rsidR="005D660E" w:rsidRDefault="00557DBA">
      <w:pPr>
        <w:rPr>
          <w:rFonts w:hint="eastAsia"/>
        </w:rPr>
      </w:pPr>
      <w:r>
        <w:t>The workbook performs two calculations when both input dates are complete YYYY-MM-DD values:</w:t>
      </w:r>
    </w:p>
    <w:tbl>
      <w:tblPr>
        <w:tblStyle w:val="TableGrid"/>
        <w:tblW w:w="0" w:type="auto"/>
        <w:jc w:val="center"/>
        <w:tblLook w:val="04A0" w:firstRow="1" w:lastRow="0" w:firstColumn="1" w:lastColumn="0" w:noHBand="0" w:noVBand="1"/>
      </w:tblPr>
      <w:tblGrid>
        <w:gridCol w:w="3264"/>
        <w:gridCol w:w="3264"/>
        <w:gridCol w:w="3264"/>
      </w:tblGrid>
      <w:tr w:rsidR="005D660E" w14:paraId="7C79911F" w14:textId="77777777">
        <w:trPr>
          <w:jc w:val="center"/>
        </w:trPr>
        <w:tc>
          <w:tcPr>
            <w:tcW w:w="3264" w:type="dxa"/>
            <w:shd w:val="clear" w:color="auto" w:fill="D9EAF7"/>
            <w:vAlign w:val="center"/>
          </w:tcPr>
          <w:p w14:paraId="5CB3E053" w14:textId="77777777" w:rsidR="005D660E" w:rsidRDefault="00557DBA">
            <w:pPr>
              <w:rPr>
                <w:rFonts w:hint="eastAsia"/>
              </w:rPr>
            </w:pPr>
            <w:r>
              <w:rPr>
                <w:b/>
                <w:sz w:val="20"/>
              </w:rPr>
              <w:t>Inputs</w:t>
            </w:r>
          </w:p>
        </w:tc>
        <w:tc>
          <w:tcPr>
            <w:tcW w:w="3264" w:type="dxa"/>
            <w:shd w:val="clear" w:color="auto" w:fill="D9EAF7"/>
            <w:vAlign w:val="center"/>
          </w:tcPr>
          <w:p w14:paraId="7BB1C018" w14:textId="77777777" w:rsidR="005D660E" w:rsidRDefault="00557DBA">
            <w:pPr>
              <w:rPr>
                <w:rFonts w:hint="eastAsia"/>
              </w:rPr>
            </w:pPr>
            <w:r>
              <w:rPr>
                <w:b/>
                <w:sz w:val="20"/>
              </w:rPr>
              <w:t>Calculation</w:t>
            </w:r>
          </w:p>
        </w:tc>
        <w:tc>
          <w:tcPr>
            <w:tcW w:w="3264" w:type="dxa"/>
            <w:shd w:val="clear" w:color="auto" w:fill="D9EAF7"/>
            <w:vAlign w:val="center"/>
          </w:tcPr>
          <w:p w14:paraId="6D2340CB" w14:textId="77777777" w:rsidR="005D660E" w:rsidRDefault="00557DBA">
            <w:pPr>
              <w:rPr>
                <w:rFonts w:hint="eastAsia"/>
              </w:rPr>
            </w:pPr>
            <w:r>
              <w:rPr>
                <w:b/>
                <w:sz w:val="20"/>
              </w:rPr>
              <w:t>Output field</w:t>
            </w:r>
          </w:p>
        </w:tc>
      </w:tr>
      <w:tr w:rsidR="005D660E" w14:paraId="205E0114" w14:textId="77777777">
        <w:trPr>
          <w:jc w:val="center"/>
        </w:trPr>
        <w:tc>
          <w:tcPr>
            <w:tcW w:w="3264" w:type="dxa"/>
            <w:vAlign w:val="center"/>
          </w:tcPr>
          <w:p w14:paraId="5EC14952" w14:textId="77777777" w:rsidR="005D660E" w:rsidRDefault="00557DBA">
            <w:pPr>
              <w:rPr>
                <w:rFonts w:hint="eastAsia"/>
              </w:rPr>
            </w:pPr>
            <w:r>
              <w:rPr>
                <w:sz w:val="20"/>
              </w:rPr>
              <w:t>hospital admission date and sample collection date</w:t>
            </w:r>
          </w:p>
        </w:tc>
        <w:tc>
          <w:tcPr>
            <w:tcW w:w="3264" w:type="dxa"/>
            <w:vAlign w:val="center"/>
          </w:tcPr>
          <w:p w14:paraId="3826C0C1" w14:textId="77777777" w:rsidR="005D660E" w:rsidRDefault="00557DBA">
            <w:pPr>
              <w:rPr>
                <w:rFonts w:hint="eastAsia"/>
              </w:rPr>
            </w:pPr>
            <w:r>
              <w:rPr>
                <w:sz w:val="20"/>
              </w:rPr>
              <w:t>sample collection date − hospital admission date</w:t>
            </w:r>
          </w:p>
        </w:tc>
        <w:tc>
          <w:tcPr>
            <w:tcW w:w="3264" w:type="dxa"/>
            <w:vAlign w:val="center"/>
          </w:tcPr>
          <w:p w14:paraId="41BD9084" w14:textId="77777777" w:rsidR="005D660E" w:rsidRDefault="00557DBA">
            <w:pPr>
              <w:rPr>
                <w:rFonts w:hint="eastAsia"/>
              </w:rPr>
            </w:pPr>
            <w:r>
              <w:rPr>
                <w:sz w:val="20"/>
              </w:rPr>
              <w:t>days in hospital before specimen collection</w:t>
            </w:r>
          </w:p>
        </w:tc>
      </w:tr>
      <w:tr w:rsidR="005D660E" w14:paraId="485B01B4" w14:textId="77777777">
        <w:trPr>
          <w:jc w:val="center"/>
        </w:trPr>
        <w:tc>
          <w:tcPr>
            <w:tcW w:w="3264" w:type="dxa"/>
            <w:vAlign w:val="center"/>
          </w:tcPr>
          <w:p w14:paraId="515C3009" w14:textId="77777777" w:rsidR="005D660E" w:rsidRDefault="00557DBA">
            <w:pPr>
              <w:rPr>
                <w:rFonts w:hint="eastAsia"/>
              </w:rPr>
            </w:pPr>
            <w:r>
              <w:rPr>
                <w:sz w:val="20"/>
              </w:rPr>
              <w:t>date of birth and sample collection date</w:t>
            </w:r>
          </w:p>
        </w:tc>
        <w:tc>
          <w:tcPr>
            <w:tcW w:w="3264" w:type="dxa"/>
            <w:vAlign w:val="center"/>
          </w:tcPr>
          <w:p w14:paraId="58ABA5F4" w14:textId="77777777" w:rsidR="005D660E" w:rsidRDefault="00557DBA">
            <w:pPr>
              <w:rPr>
                <w:rFonts w:hint="eastAsia"/>
              </w:rPr>
            </w:pPr>
            <w:r>
              <w:rPr>
                <w:sz w:val="20"/>
              </w:rPr>
              <w:t>sample collection date − date of birth</w:t>
            </w:r>
          </w:p>
        </w:tc>
        <w:tc>
          <w:tcPr>
            <w:tcW w:w="3264" w:type="dxa"/>
            <w:vAlign w:val="center"/>
          </w:tcPr>
          <w:p w14:paraId="4C0A75EE" w14:textId="77777777" w:rsidR="005D660E" w:rsidRDefault="00557DBA">
            <w:pPr>
              <w:rPr>
                <w:rFonts w:hint="eastAsia"/>
              </w:rPr>
            </w:pPr>
            <w:r>
              <w:rPr>
                <w:sz w:val="20"/>
              </w:rPr>
              <w:t>age in days at specimen collection</w:t>
            </w:r>
          </w:p>
        </w:tc>
      </w:tr>
    </w:tbl>
    <w:p w14:paraId="665D32DA" w14:textId="77777777" w:rsidR="005D660E" w:rsidRDefault="00557DBA">
      <w:pPr>
        <w:rPr>
          <w:rFonts w:hint="eastAsia"/>
        </w:rPr>
      </w:pPr>
      <w:r>
        <w:t xml:space="preserve">Automatically calculated result cells are shown with a light-blue fill. If either date is missing or partial (YYYY or YYYY-MM), no calculation is made and the result field remains available for manual free-text entry. A </w:t>
      </w:r>
      <w:r>
        <w:lastRenderedPageBreak/>
        <w:t>manual value is preserved until both dates become complete, after which the exact calculated value replaces it.</w:t>
      </w:r>
    </w:p>
    <w:p w14:paraId="2074B495" w14:textId="77777777" w:rsidR="005D660E" w:rsidRDefault="00557DBA">
      <w:pPr>
        <w:pStyle w:val="Heading1"/>
      </w:pPr>
      <w:r>
        <w:t>12. Dependent pathogen type and organism dropdowns</w:t>
      </w:r>
    </w:p>
    <w:p w14:paraId="3840745F" w14:textId="77777777" w:rsidR="005D660E" w:rsidRDefault="00557DBA">
      <w:pPr>
        <w:rPr>
          <w:rFonts w:hint="eastAsia"/>
        </w:rPr>
      </w:pPr>
      <w:r>
        <w:t>In Template_lab and Template_genomics, the organism dropdown depends on the pathogen type selected in the preceding field. Changing pathogen type clears an incompatible organism value and loads only the relevant organism list.</w:t>
      </w:r>
    </w:p>
    <w:tbl>
      <w:tblPr>
        <w:tblStyle w:val="TableGrid"/>
        <w:tblW w:w="0" w:type="auto"/>
        <w:jc w:val="center"/>
        <w:tblLook w:val="04A0" w:firstRow="1" w:lastRow="0" w:firstColumn="1" w:lastColumn="0" w:noHBand="0" w:noVBand="1"/>
      </w:tblPr>
      <w:tblGrid>
        <w:gridCol w:w="4896"/>
        <w:gridCol w:w="4896"/>
      </w:tblGrid>
      <w:tr w:rsidR="005D660E" w14:paraId="3A22155A" w14:textId="77777777">
        <w:trPr>
          <w:jc w:val="center"/>
        </w:trPr>
        <w:tc>
          <w:tcPr>
            <w:tcW w:w="4896" w:type="dxa"/>
            <w:shd w:val="clear" w:color="auto" w:fill="D9EAF7"/>
            <w:vAlign w:val="center"/>
          </w:tcPr>
          <w:p w14:paraId="1BBD3BDA" w14:textId="77777777" w:rsidR="005D660E" w:rsidRDefault="00557DBA">
            <w:pPr>
              <w:rPr>
                <w:rFonts w:hint="eastAsia"/>
              </w:rPr>
            </w:pPr>
            <w:r>
              <w:rPr>
                <w:b/>
                <w:sz w:val="20"/>
              </w:rPr>
              <w:t>Pathogen type</w:t>
            </w:r>
          </w:p>
        </w:tc>
        <w:tc>
          <w:tcPr>
            <w:tcW w:w="4896" w:type="dxa"/>
            <w:shd w:val="clear" w:color="auto" w:fill="D9EAF7"/>
            <w:vAlign w:val="center"/>
          </w:tcPr>
          <w:p w14:paraId="45ADDDC8" w14:textId="77777777" w:rsidR="005D660E" w:rsidRDefault="00557DBA">
            <w:pPr>
              <w:rPr>
                <w:rFonts w:hint="eastAsia"/>
              </w:rPr>
            </w:pPr>
            <w:r>
              <w:rPr>
                <w:b/>
                <w:sz w:val="20"/>
              </w:rPr>
              <w:t>Organism list used</w:t>
            </w:r>
          </w:p>
        </w:tc>
      </w:tr>
      <w:tr w:rsidR="005D660E" w14:paraId="2D8E4C75" w14:textId="77777777">
        <w:trPr>
          <w:jc w:val="center"/>
        </w:trPr>
        <w:tc>
          <w:tcPr>
            <w:tcW w:w="4896" w:type="dxa"/>
            <w:vAlign w:val="center"/>
          </w:tcPr>
          <w:p w14:paraId="4899F36A" w14:textId="77777777" w:rsidR="005D660E" w:rsidRDefault="00557DBA">
            <w:pPr>
              <w:rPr>
                <w:rFonts w:hint="eastAsia"/>
              </w:rPr>
            </w:pPr>
            <w:r>
              <w:rPr>
                <w:sz w:val="20"/>
              </w:rPr>
              <w:t>Gram positive bacteria[NCIT:C173515]</w:t>
            </w:r>
          </w:p>
        </w:tc>
        <w:tc>
          <w:tcPr>
            <w:tcW w:w="4896" w:type="dxa"/>
            <w:vAlign w:val="center"/>
          </w:tcPr>
          <w:p w14:paraId="551BFB8E" w14:textId="77777777" w:rsidR="005D660E" w:rsidRDefault="00557DBA">
            <w:pPr>
              <w:rPr>
                <w:rFonts w:hint="eastAsia"/>
              </w:rPr>
            </w:pPr>
            <w:r>
              <w:rPr>
                <w:sz w:val="20"/>
              </w:rPr>
              <w:t>gram positive bacteria organisms</w:t>
            </w:r>
          </w:p>
        </w:tc>
      </w:tr>
      <w:tr w:rsidR="005D660E" w14:paraId="1FD45AFC" w14:textId="77777777">
        <w:trPr>
          <w:jc w:val="center"/>
        </w:trPr>
        <w:tc>
          <w:tcPr>
            <w:tcW w:w="4896" w:type="dxa"/>
            <w:vAlign w:val="center"/>
          </w:tcPr>
          <w:p w14:paraId="4717DE20" w14:textId="77777777" w:rsidR="005D660E" w:rsidRDefault="00557DBA">
            <w:pPr>
              <w:rPr>
                <w:rFonts w:hint="eastAsia"/>
              </w:rPr>
            </w:pPr>
            <w:r>
              <w:rPr>
                <w:sz w:val="20"/>
              </w:rPr>
              <w:t>Gram negative bacteria[NCIT:C173514]</w:t>
            </w:r>
          </w:p>
        </w:tc>
        <w:tc>
          <w:tcPr>
            <w:tcW w:w="4896" w:type="dxa"/>
            <w:vAlign w:val="center"/>
          </w:tcPr>
          <w:p w14:paraId="79B13F3F" w14:textId="77777777" w:rsidR="005D660E" w:rsidRDefault="00557DBA">
            <w:pPr>
              <w:rPr>
                <w:rFonts w:hint="eastAsia"/>
              </w:rPr>
            </w:pPr>
            <w:r>
              <w:rPr>
                <w:sz w:val="20"/>
              </w:rPr>
              <w:t>gram negative bacteria organisms</w:t>
            </w:r>
          </w:p>
        </w:tc>
      </w:tr>
      <w:tr w:rsidR="005D660E" w14:paraId="57AD1498" w14:textId="77777777">
        <w:trPr>
          <w:jc w:val="center"/>
        </w:trPr>
        <w:tc>
          <w:tcPr>
            <w:tcW w:w="4896" w:type="dxa"/>
            <w:vAlign w:val="center"/>
          </w:tcPr>
          <w:p w14:paraId="30B33C35" w14:textId="77777777" w:rsidR="005D660E" w:rsidRDefault="00557DBA">
            <w:pPr>
              <w:rPr>
                <w:rFonts w:hint="eastAsia"/>
              </w:rPr>
            </w:pPr>
            <w:r>
              <w:rPr>
                <w:sz w:val="20"/>
              </w:rPr>
              <w:t>Fungi[NCBITaxon:4751]</w:t>
            </w:r>
          </w:p>
        </w:tc>
        <w:tc>
          <w:tcPr>
            <w:tcW w:w="4896" w:type="dxa"/>
            <w:vAlign w:val="center"/>
          </w:tcPr>
          <w:p w14:paraId="67197BBE" w14:textId="77777777" w:rsidR="005D660E" w:rsidRDefault="00557DBA">
            <w:pPr>
              <w:rPr>
                <w:rFonts w:hint="eastAsia"/>
              </w:rPr>
            </w:pPr>
            <w:r>
              <w:rPr>
                <w:sz w:val="20"/>
              </w:rPr>
              <w:t>fungi organisms</w:t>
            </w:r>
          </w:p>
        </w:tc>
      </w:tr>
      <w:tr w:rsidR="005D660E" w14:paraId="53B03F9B" w14:textId="77777777">
        <w:trPr>
          <w:jc w:val="center"/>
        </w:trPr>
        <w:tc>
          <w:tcPr>
            <w:tcW w:w="4896" w:type="dxa"/>
            <w:vAlign w:val="center"/>
          </w:tcPr>
          <w:p w14:paraId="25FBECA1" w14:textId="77777777" w:rsidR="005D660E" w:rsidRDefault="00557DBA">
            <w:pPr>
              <w:rPr>
                <w:rFonts w:hint="eastAsia"/>
              </w:rPr>
            </w:pPr>
            <w:r>
              <w:rPr>
                <w:sz w:val="20"/>
              </w:rPr>
              <w:t>Mycobacterium[NCBITaxon:1763]</w:t>
            </w:r>
          </w:p>
        </w:tc>
        <w:tc>
          <w:tcPr>
            <w:tcW w:w="4896" w:type="dxa"/>
            <w:vAlign w:val="center"/>
          </w:tcPr>
          <w:p w14:paraId="4CB1950F" w14:textId="77777777" w:rsidR="005D660E" w:rsidRDefault="00557DBA">
            <w:pPr>
              <w:rPr>
                <w:rFonts w:hint="eastAsia"/>
              </w:rPr>
            </w:pPr>
            <w:r>
              <w:rPr>
                <w:sz w:val="20"/>
              </w:rPr>
              <w:t>mycobacterium organisms</w:t>
            </w:r>
          </w:p>
        </w:tc>
      </w:tr>
      <w:tr w:rsidR="005D660E" w14:paraId="13506D72" w14:textId="77777777">
        <w:trPr>
          <w:jc w:val="center"/>
        </w:trPr>
        <w:tc>
          <w:tcPr>
            <w:tcW w:w="4896" w:type="dxa"/>
            <w:vAlign w:val="center"/>
          </w:tcPr>
          <w:p w14:paraId="2B851160" w14:textId="77777777" w:rsidR="005D660E" w:rsidRDefault="00557DBA">
            <w:pPr>
              <w:rPr>
                <w:rFonts w:hint="eastAsia"/>
              </w:rPr>
            </w:pPr>
            <w:r>
              <w:rPr>
                <w:sz w:val="20"/>
              </w:rPr>
              <w:t>Virus[NCBITaxon:10239]</w:t>
            </w:r>
          </w:p>
        </w:tc>
        <w:tc>
          <w:tcPr>
            <w:tcW w:w="4896" w:type="dxa"/>
            <w:vAlign w:val="center"/>
          </w:tcPr>
          <w:p w14:paraId="2AF85137" w14:textId="77777777" w:rsidR="005D660E" w:rsidRDefault="00557DBA">
            <w:pPr>
              <w:rPr>
                <w:rFonts w:hint="eastAsia"/>
              </w:rPr>
            </w:pPr>
            <w:r>
              <w:rPr>
                <w:sz w:val="20"/>
              </w:rPr>
              <w:t>virus organisms</w:t>
            </w:r>
          </w:p>
        </w:tc>
      </w:tr>
    </w:tbl>
    <w:p w14:paraId="0F836650" w14:textId="77777777" w:rsidR="005D660E" w:rsidRDefault="00557DBA">
      <w:pPr>
        <w:rPr>
          <w:rFonts w:hint="eastAsia"/>
        </w:rPr>
      </w:pPr>
      <w:r>
        <w:t>The five organism lists are maintained as separate columns in Reference_data. Each list may contain an Other option.</w:t>
      </w:r>
    </w:p>
    <w:p w14:paraId="3EF8D1DF" w14:textId="77777777" w:rsidR="005D660E" w:rsidRDefault="00557DBA">
      <w:pPr>
        <w:pStyle w:val="Heading1"/>
      </w:pPr>
      <w:r>
        <w:t>13. Use of “Other”</w:t>
      </w:r>
    </w:p>
    <w:p w14:paraId="6A982470" w14:textId="77777777" w:rsidR="005D660E" w:rsidRDefault="00557DBA">
      <w:pPr>
        <w:rPr>
          <w:rFonts w:hint="eastAsia"/>
        </w:rPr>
      </w:pPr>
      <w:r>
        <w:t>When Other is selected in an ordinary picklist, a prompt asks the user to enter a free-text value. The prompt states:</w:t>
      </w:r>
    </w:p>
    <w:p w14:paraId="69BAC104" w14:textId="77777777" w:rsidR="005D660E" w:rsidRDefault="00557DBA">
      <w:pPr>
        <w:jc w:val="center"/>
        <w:rPr>
          <w:rFonts w:hint="eastAsia"/>
        </w:rPr>
      </w:pPr>
      <w:r>
        <w:rPr>
          <w:i/>
        </w:rPr>
        <w:t>“Please enter your data. Where possible, use appropriate ontology terms by searching your term at https://www.ebi.ac.uk/ols4/.”</w:t>
      </w:r>
    </w:p>
    <w:p w14:paraId="3C8B989C" w14:textId="77777777" w:rsidR="005D660E" w:rsidRDefault="00557DBA">
      <w:pPr>
        <w:rPr>
          <w:rFonts w:hint="eastAsia"/>
        </w:rPr>
      </w:pPr>
      <w:r>
        <w:t>Only the entered value is stored; the workbook does not prefix it with “Other:”.</w:t>
      </w:r>
    </w:p>
    <w:p w14:paraId="526A7090" w14:textId="77777777" w:rsidR="005D660E" w:rsidRDefault="00557DBA">
      <w:pPr>
        <w:rPr>
          <w:rFonts w:hint="eastAsia"/>
        </w:rPr>
      </w:pPr>
      <w:r>
        <w:t>For the organism field, a specialised prompt asks the user to enter the scientific name of the organism and, where possible, use the appropriate ontology from NCBITaxon. Only the entered organism value is stored.</w:t>
      </w:r>
    </w:p>
    <w:p w14:paraId="586D209F" w14:textId="77777777" w:rsidR="005D660E" w:rsidRDefault="00557DBA">
      <w:pPr>
        <w:pStyle w:val="Heading1"/>
      </w:pPr>
      <w:r>
        <w:t>14. Multi-select fields</w:t>
      </w:r>
    </w:p>
    <w:p w14:paraId="6D896B92" w14:textId="77777777" w:rsidR="005D660E" w:rsidRDefault="00557DBA">
      <w:pPr>
        <w:rPr>
          <w:rFonts w:hint="eastAsia"/>
        </w:rPr>
      </w:pPr>
      <w:r>
        <w:t>The following fields currently support multiple selections:</w:t>
      </w:r>
    </w:p>
    <w:p w14:paraId="4BF0AAE3" w14:textId="77777777" w:rsidR="005D660E" w:rsidRDefault="00557DBA">
      <w:pPr>
        <w:pStyle w:val="ListBullet"/>
        <w:rPr>
          <w:rFonts w:hint="eastAsia"/>
        </w:rPr>
      </w:pPr>
      <w:r>
        <w:t>pregnancy history</w:t>
      </w:r>
    </w:p>
    <w:p w14:paraId="6AD8A133" w14:textId="77777777" w:rsidR="005D660E" w:rsidRDefault="00557DBA">
      <w:pPr>
        <w:pStyle w:val="ListBullet"/>
        <w:rPr>
          <w:rFonts w:hint="eastAsia"/>
        </w:rPr>
      </w:pPr>
      <w:r>
        <w:t>obstetric history</w:t>
      </w:r>
    </w:p>
    <w:p w14:paraId="13AD2075" w14:textId="77777777" w:rsidR="005D660E" w:rsidRDefault="00557DBA">
      <w:pPr>
        <w:rPr>
          <w:rFonts w:hint="eastAsia"/>
        </w:rPr>
      </w:pPr>
      <w:r>
        <w:t>Each additional selection is appended to the same cell and separated by a semicolon followed by a space:</w:t>
      </w:r>
    </w:p>
    <w:p w14:paraId="73C2F6F3" w14:textId="77777777" w:rsidR="005D660E" w:rsidRDefault="00557DBA">
      <w:pPr>
        <w:jc w:val="center"/>
        <w:rPr>
          <w:rFonts w:hint="eastAsia"/>
        </w:rPr>
      </w:pPr>
      <w:r>
        <w:rPr>
          <w:b/>
        </w:rPr>
        <w:t>Option 1; Option 2; Option 3</w:t>
      </w:r>
    </w:p>
    <w:p w14:paraId="1988CF4D" w14:textId="77777777" w:rsidR="005D660E" w:rsidRDefault="00557DBA">
      <w:pPr>
        <w:rPr>
          <w:rFonts w:hint="eastAsia"/>
        </w:rPr>
      </w:pPr>
      <w:r>
        <w:t>Duplicate selections are not added. If Other is selected, the prompted free-text value is appended using the same semicolon separator. Multi-select is intended for one-cell-at-a-time dropdown selection and may not behave correctly during multi-cell paste operations.</w:t>
      </w:r>
    </w:p>
    <w:p w14:paraId="30857CBD" w14:textId="77777777" w:rsidR="005D660E" w:rsidRDefault="00557DBA">
      <w:pPr>
        <w:pStyle w:val="Heading1"/>
      </w:pPr>
      <w:r>
        <w:lastRenderedPageBreak/>
        <w:t>15. Repeated AST blocks</w:t>
      </w:r>
    </w:p>
    <w:p w14:paraId="0C0F283E" w14:textId="77777777" w:rsidR="005D660E" w:rsidRDefault="00557DBA">
      <w:pPr>
        <w:rPr>
          <w:rFonts w:hint="eastAsia"/>
        </w:rPr>
      </w:pPr>
      <w:r>
        <w:t>Repeated AST fields must have unique headers. For example, AST testing date_1 and AST testing date_2 are treated as separate fields. They are normalised independently and do not autopopulate into one another. The same numbering convention should be applied consistently to other fields within each repeated AST block.</w:t>
      </w:r>
    </w:p>
    <w:p w14:paraId="3C87943C" w14:textId="77777777" w:rsidR="005D660E" w:rsidRDefault="00557DBA">
      <w:pPr>
        <w:pStyle w:val="Heading1"/>
      </w:pPr>
      <w:r>
        <w:t>16. Data review and quality checks</w:t>
      </w:r>
    </w:p>
    <w:p w14:paraId="384EA71A" w14:textId="77777777" w:rsidR="005D660E" w:rsidRDefault="00557DBA">
      <w:pPr>
        <w:pStyle w:val="ListBullet"/>
        <w:rPr>
          <w:rFonts w:hint="eastAsia"/>
        </w:rPr>
      </w:pPr>
      <w:r>
        <w:t>Confirm that linked values appear in the correct row and sheet.</w:t>
      </w:r>
    </w:p>
    <w:p w14:paraId="3C6D5A1A" w14:textId="77777777" w:rsidR="005D660E" w:rsidRDefault="00557DBA">
      <w:pPr>
        <w:pStyle w:val="ListBullet"/>
        <w:rPr>
          <w:rFonts w:hint="eastAsia"/>
        </w:rPr>
      </w:pPr>
      <w:r>
        <w:t>Confirm that grey fields are blank and not applicable for the selected category.</w:t>
      </w:r>
    </w:p>
    <w:p w14:paraId="4A266020" w14:textId="77777777" w:rsidR="005D660E" w:rsidRDefault="00557DBA">
      <w:pPr>
        <w:pStyle w:val="ListBullet"/>
        <w:rPr>
          <w:rFonts w:hint="eastAsia"/>
        </w:rPr>
      </w:pPr>
      <w:r>
        <w:t>Review partial dates to ensure the intended precision is preserved.</w:t>
      </w:r>
    </w:p>
    <w:p w14:paraId="3D428CCF" w14:textId="77777777" w:rsidR="005D660E" w:rsidRDefault="00557DBA">
      <w:pPr>
        <w:pStyle w:val="ListBullet"/>
        <w:rPr>
          <w:rFonts w:hint="eastAsia"/>
        </w:rPr>
      </w:pPr>
      <w:r>
        <w:t>Review light-blue calculated cells and investigate negative or implausible results.</w:t>
      </w:r>
    </w:p>
    <w:p w14:paraId="3D20AB3B" w14:textId="77777777" w:rsidR="005D660E" w:rsidRDefault="00557DBA">
      <w:pPr>
        <w:pStyle w:val="ListBullet"/>
        <w:rPr>
          <w:rFonts w:hint="eastAsia"/>
        </w:rPr>
      </w:pPr>
      <w:r>
        <w:t>Confirm that pathogen type and organism selections are compatible.</w:t>
      </w:r>
    </w:p>
    <w:p w14:paraId="2955BB98" w14:textId="77777777" w:rsidR="005D660E" w:rsidRDefault="00557DBA">
      <w:pPr>
        <w:pStyle w:val="ListBullet"/>
        <w:rPr>
          <w:rFonts w:hint="eastAsia"/>
        </w:rPr>
      </w:pPr>
      <w:r>
        <w:t>Check multi-select values for correct semicolon separation and absence of duplicates.</w:t>
      </w:r>
    </w:p>
    <w:p w14:paraId="590A82CB" w14:textId="77777777" w:rsidR="005D660E" w:rsidRDefault="00557DBA">
      <w:pPr>
        <w:pStyle w:val="ListBullet"/>
        <w:rPr>
          <w:rFonts w:hint="eastAsia"/>
        </w:rPr>
      </w:pPr>
      <w:r>
        <w:t>Use controlled ontology terms whenever available and reserve free text for genuinely unlisted values.</w:t>
      </w:r>
    </w:p>
    <w:p w14:paraId="03489804" w14:textId="77777777" w:rsidR="005D660E" w:rsidRDefault="00557DBA">
      <w:pPr>
        <w:pStyle w:val="Heading1"/>
      </w:pPr>
      <w:r>
        <w:t>17. Troubleshooting</w:t>
      </w:r>
    </w:p>
    <w:tbl>
      <w:tblPr>
        <w:tblStyle w:val="TableGrid"/>
        <w:tblW w:w="0" w:type="auto"/>
        <w:jc w:val="center"/>
        <w:tblLook w:val="04A0" w:firstRow="1" w:lastRow="0" w:firstColumn="1" w:lastColumn="0" w:noHBand="0" w:noVBand="1"/>
      </w:tblPr>
      <w:tblGrid>
        <w:gridCol w:w="4896"/>
        <w:gridCol w:w="4896"/>
      </w:tblGrid>
      <w:tr w:rsidR="005D660E" w14:paraId="6E1522A2" w14:textId="77777777">
        <w:trPr>
          <w:jc w:val="center"/>
        </w:trPr>
        <w:tc>
          <w:tcPr>
            <w:tcW w:w="4896" w:type="dxa"/>
            <w:shd w:val="clear" w:color="auto" w:fill="D9EAF7"/>
            <w:vAlign w:val="center"/>
          </w:tcPr>
          <w:p w14:paraId="12FC8502" w14:textId="77777777" w:rsidR="005D660E" w:rsidRDefault="00557DBA">
            <w:pPr>
              <w:rPr>
                <w:rFonts w:hint="eastAsia"/>
              </w:rPr>
            </w:pPr>
            <w:r>
              <w:rPr>
                <w:b/>
                <w:sz w:val="20"/>
              </w:rPr>
              <w:t>Problem</w:t>
            </w:r>
          </w:p>
        </w:tc>
        <w:tc>
          <w:tcPr>
            <w:tcW w:w="4896" w:type="dxa"/>
            <w:shd w:val="clear" w:color="auto" w:fill="D9EAF7"/>
            <w:vAlign w:val="center"/>
          </w:tcPr>
          <w:p w14:paraId="7C875001" w14:textId="77777777" w:rsidR="005D660E" w:rsidRDefault="00557DBA">
            <w:pPr>
              <w:rPr>
                <w:rFonts w:hint="eastAsia"/>
              </w:rPr>
            </w:pPr>
            <w:r>
              <w:rPr>
                <w:b/>
                <w:sz w:val="20"/>
              </w:rPr>
              <w:t>Action</w:t>
            </w:r>
          </w:p>
        </w:tc>
      </w:tr>
      <w:tr w:rsidR="005D660E" w14:paraId="55B98842" w14:textId="77777777">
        <w:trPr>
          <w:jc w:val="center"/>
        </w:trPr>
        <w:tc>
          <w:tcPr>
            <w:tcW w:w="4896" w:type="dxa"/>
            <w:vAlign w:val="center"/>
          </w:tcPr>
          <w:p w14:paraId="3BDE8CD3" w14:textId="77777777" w:rsidR="005D660E" w:rsidRDefault="00557DBA">
            <w:pPr>
              <w:rPr>
                <w:rFonts w:hint="eastAsia"/>
              </w:rPr>
            </w:pPr>
            <w:r>
              <w:rPr>
                <w:sz w:val="20"/>
              </w:rPr>
              <w:t>Dropdowns, greying, calculations, or synchronisation do not work</w:t>
            </w:r>
          </w:p>
        </w:tc>
        <w:tc>
          <w:tcPr>
            <w:tcW w:w="4896" w:type="dxa"/>
            <w:vAlign w:val="center"/>
          </w:tcPr>
          <w:p w14:paraId="63CD4AC0" w14:textId="77777777" w:rsidR="005D660E" w:rsidRDefault="00557DBA">
            <w:pPr>
              <w:rPr>
                <w:rFonts w:hint="eastAsia"/>
              </w:rPr>
            </w:pPr>
            <w:r>
              <w:rPr>
                <w:sz w:val="20"/>
              </w:rPr>
              <w:t>Confirm that macros are enabled. Close and reopen the .xlsm workbook if necessary.</w:t>
            </w:r>
          </w:p>
        </w:tc>
      </w:tr>
      <w:tr w:rsidR="005D660E" w14:paraId="79079D98" w14:textId="77777777">
        <w:trPr>
          <w:jc w:val="center"/>
        </w:trPr>
        <w:tc>
          <w:tcPr>
            <w:tcW w:w="4896" w:type="dxa"/>
            <w:vAlign w:val="center"/>
          </w:tcPr>
          <w:p w14:paraId="49AD2404" w14:textId="77777777" w:rsidR="005D660E" w:rsidRDefault="00557DBA">
            <w:pPr>
              <w:rPr>
                <w:rFonts w:hint="eastAsia"/>
              </w:rPr>
            </w:pPr>
            <w:r>
              <w:rPr>
                <w:sz w:val="20"/>
              </w:rPr>
              <w:t>A field cannot be edited</w:t>
            </w:r>
          </w:p>
        </w:tc>
        <w:tc>
          <w:tcPr>
            <w:tcW w:w="4896" w:type="dxa"/>
            <w:vAlign w:val="center"/>
          </w:tcPr>
          <w:p w14:paraId="124B97B4" w14:textId="77777777" w:rsidR="005D660E" w:rsidRDefault="00557DBA">
            <w:pPr>
              <w:rPr>
                <w:rFonts w:hint="eastAsia"/>
              </w:rPr>
            </w:pPr>
            <w:r>
              <w:rPr>
                <w:sz w:val="20"/>
              </w:rPr>
              <w:t>Check whether the field is grey and therefore not applicable. If the entire sheet appears locked, contact the workbook administrator.</w:t>
            </w:r>
          </w:p>
        </w:tc>
      </w:tr>
      <w:tr w:rsidR="005D660E" w14:paraId="35E52DBD" w14:textId="77777777">
        <w:trPr>
          <w:jc w:val="center"/>
        </w:trPr>
        <w:tc>
          <w:tcPr>
            <w:tcW w:w="4896" w:type="dxa"/>
            <w:vAlign w:val="center"/>
          </w:tcPr>
          <w:p w14:paraId="3435BBD1" w14:textId="77777777" w:rsidR="005D660E" w:rsidRDefault="00557DBA">
            <w:pPr>
              <w:rPr>
                <w:rFonts w:hint="eastAsia"/>
              </w:rPr>
            </w:pPr>
            <w:r>
              <w:rPr>
                <w:sz w:val="20"/>
              </w:rPr>
              <w:t>An organism dropdown is empty</w:t>
            </w:r>
          </w:p>
        </w:tc>
        <w:tc>
          <w:tcPr>
            <w:tcW w:w="4896" w:type="dxa"/>
            <w:vAlign w:val="center"/>
          </w:tcPr>
          <w:p w14:paraId="0C731479" w14:textId="77777777" w:rsidR="005D660E" w:rsidRDefault="00557DBA">
            <w:pPr>
              <w:rPr>
                <w:rFonts w:hint="eastAsia"/>
              </w:rPr>
            </w:pPr>
            <w:r>
              <w:rPr>
                <w:sz w:val="20"/>
              </w:rPr>
              <w:t>Confirm that a recognised pathogen type has been selected and that the relevant organism reference list contains values.</w:t>
            </w:r>
          </w:p>
        </w:tc>
      </w:tr>
      <w:tr w:rsidR="005D660E" w14:paraId="07CB59B9" w14:textId="77777777">
        <w:trPr>
          <w:jc w:val="center"/>
        </w:trPr>
        <w:tc>
          <w:tcPr>
            <w:tcW w:w="4896" w:type="dxa"/>
            <w:vAlign w:val="center"/>
          </w:tcPr>
          <w:p w14:paraId="341885F3" w14:textId="77777777" w:rsidR="005D660E" w:rsidRDefault="00557DBA">
            <w:pPr>
              <w:rPr>
                <w:rFonts w:hint="eastAsia"/>
              </w:rPr>
            </w:pPr>
            <w:r>
              <w:rPr>
                <w:sz w:val="20"/>
              </w:rPr>
              <w:t>A date is rejected or cleared</w:t>
            </w:r>
          </w:p>
        </w:tc>
        <w:tc>
          <w:tcPr>
            <w:tcW w:w="4896" w:type="dxa"/>
            <w:vAlign w:val="center"/>
          </w:tcPr>
          <w:p w14:paraId="2BD79066" w14:textId="77777777" w:rsidR="005D660E" w:rsidRDefault="00557DBA">
            <w:pPr>
              <w:rPr>
                <w:rFonts w:hint="eastAsia"/>
              </w:rPr>
            </w:pPr>
            <w:r>
              <w:rPr>
                <w:sz w:val="20"/>
              </w:rPr>
              <w:t>Enter YYYY, Month YYYY, or a complete recognisable date. Avoid ambiguous numeric formats where possible.</w:t>
            </w:r>
          </w:p>
        </w:tc>
      </w:tr>
      <w:tr w:rsidR="005D660E" w14:paraId="097F1DF2" w14:textId="77777777">
        <w:trPr>
          <w:jc w:val="center"/>
        </w:trPr>
        <w:tc>
          <w:tcPr>
            <w:tcW w:w="4896" w:type="dxa"/>
            <w:vAlign w:val="center"/>
          </w:tcPr>
          <w:p w14:paraId="1F3DB852" w14:textId="77777777" w:rsidR="005D660E" w:rsidRDefault="00557DBA">
            <w:pPr>
              <w:rPr>
                <w:rFonts w:hint="eastAsia"/>
              </w:rPr>
            </w:pPr>
            <w:r>
              <w:rPr>
                <w:sz w:val="20"/>
              </w:rPr>
              <w:t>Multi-select replaces rather than appends</w:t>
            </w:r>
          </w:p>
        </w:tc>
        <w:tc>
          <w:tcPr>
            <w:tcW w:w="4896" w:type="dxa"/>
            <w:vAlign w:val="center"/>
          </w:tcPr>
          <w:p w14:paraId="1DD4D86A" w14:textId="77777777" w:rsidR="005D660E" w:rsidRDefault="00557DBA">
            <w:pPr>
              <w:rPr>
                <w:rFonts w:hint="eastAsia"/>
              </w:rPr>
            </w:pPr>
            <w:r>
              <w:rPr>
                <w:sz w:val="20"/>
              </w:rPr>
              <w:t>Confirm that the field header is exactly pregnancy history or obstetric history and select one cell at a time.</w:t>
            </w:r>
          </w:p>
        </w:tc>
      </w:tr>
      <w:tr w:rsidR="005D660E" w14:paraId="5DC81CDC" w14:textId="77777777">
        <w:trPr>
          <w:jc w:val="center"/>
        </w:trPr>
        <w:tc>
          <w:tcPr>
            <w:tcW w:w="4896" w:type="dxa"/>
            <w:vAlign w:val="center"/>
          </w:tcPr>
          <w:p w14:paraId="6CAC92AB" w14:textId="77777777" w:rsidR="005D660E" w:rsidRDefault="00557DBA">
            <w:pPr>
              <w:rPr>
                <w:rFonts w:hint="eastAsia"/>
              </w:rPr>
            </w:pPr>
            <w:r>
              <w:rPr>
                <w:sz w:val="20"/>
              </w:rPr>
              <w:t>VBA compile or runtime error appears</w:t>
            </w:r>
          </w:p>
        </w:tc>
        <w:tc>
          <w:tcPr>
            <w:tcW w:w="4896" w:type="dxa"/>
            <w:vAlign w:val="center"/>
          </w:tcPr>
          <w:p w14:paraId="3383AE72" w14:textId="77777777" w:rsidR="005D660E" w:rsidRDefault="00557DBA">
            <w:pPr>
              <w:rPr>
                <w:rFonts w:hint="eastAsia"/>
              </w:rPr>
            </w:pPr>
            <w:r>
              <w:rPr>
                <w:sz w:val="20"/>
              </w:rPr>
              <w:t>Record the exact error message, sheet, cell, and action performed, then contact the workbook administrator. Do not edit VBA unless authorised.</w:t>
            </w:r>
          </w:p>
        </w:tc>
      </w:tr>
    </w:tbl>
    <w:p w14:paraId="61080EC5" w14:textId="77777777" w:rsidR="005D660E" w:rsidRDefault="00557DBA">
      <w:pPr>
        <w:pStyle w:val="Heading1"/>
      </w:pPr>
      <w:r>
        <w:t>18. Workbook maintenance and change control</w:t>
      </w:r>
    </w:p>
    <w:p w14:paraId="0D2B7628" w14:textId="77777777" w:rsidR="005D660E" w:rsidRDefault="00557DBA">
      <w:pPr>
        <w:pStyle w:val="ListBullet"/>
        <w:rPr>
          <w:rFonts w:hint="eastAsia"/>
        </w:rPr>
      </w:pPr>
      <w:r>
        <w:t>All changes to headers, reference lists, sheet names, VBA modules, and automated rules must be version-controlled and tested before release.</w:t>
      </w:r>
    </w:p>
    <w:p w14:paraId="5760A729" w14:textId="77777777" w:rsidR="005D660E" w:rsidRDefault="00557DBA">
      <w:pPr>
        <w:pStyle w:val="ListBullet"/>
        <w:rPr>
          <w:rFonts w:hint="eastAsia"/>
        </w:rPr>
      </w:pPr>
      <w:r>
        <w:t>After any VBA change, use Debug → Compile VBAProject and test all affected workflows.</w:t>
      </w:r>
    </w:p>
    <w:p w14:paraId="31F9A670" w14:textId="77777777" w:rsidR="005D660E" w:rsidRDefault="00557DBA">
      <w:pPr>
        <w:pStyle w:val="ListBullet"/>
        <w:rPr>
          <w:rFonts w:hint="eastAsia"/>
        </w:rPr>
      </w:pPr>
      <w:r>
        <w:t>Maintain a change log containing the workbook version, date, change description, author, reviewer, and test outcome.</w:t>
      </w:r>
    </w:p>
    <w:p w14:paraId="5172E8A9" w14:textId="77777777" w:rsidR="005D660E" w:rsidRDefault="00557DBA">
      <w:pPr>
        <w:pStyle w:val="ListBullet"/>
        <w:rPr>
          <w:rFonts w:hint="eastAsia"/>
        </w:rPr>
      </w:pPr>
      <w:r>
        <w:t>Issue updated SOP versions whenever the user-visible behaviour changes.</w:t>
      </w:r>
    </w:p>
    <w:p w14:paraId="40546A4B" w14:textId="77777777" w:rsidR="005D660E" w:rsidRDefault="00557DBA">
      <w:pPr>
        <w:pStyle w:val="ListBullet"/>
        <w:rPr>
          <w:rFonts w:hint="eastAsia"/>
        </w:rPr>
      </w:pPr>
      <w:r>
        <w:t>Retain an unmodified master copy of each released workbook version.</w:t>
      </w:r>
    </w:p>
    <w:p w14:paraId="017EA35B" w14:textId="77777777" w:rsidR="005D660E" w:rsidRDefault="00557DBA">
      <w:pPr>
        <w:pStyle w:val="Heading1"/>
      </w:pPr>
      <w:r>
        <w:t>19. Current functionality summary</w:t>
      </w:r>
    </w:p>
    <w:p w14:paraId="724D80F2" w14:textId="77777777" w:rsidR="005D660E" w:rsidRDefault="00557DBA">
      <w:pPr>
        <w:pStyle w:val="ListBullet"/>
        <w:rPr>
          <w:rFonts w:hint="eastAsia"/>
        </w:rPr>
      </w:pPr>
      <w:r>
        <w:t>Automatic picklists derived from Reference_data.</w:t>
      </w:r>
    </w:p>
    <w:p w14:paraId="2258A82C" w14:textId="77777777" w:rsidR="005D660E" w:rsidRDefault="00557DBA">
      <w:pPr>
        <w:pStyle w:val="ListBullet"/>
        <w:rPr>
          <w:rFonts w:hint="eastAsia"/>
        </w:rPr>
      </w:pPr>
      <w:r>
        <w:lastRenderedPageBreak/>
        <w:t>Header-driven cross-sheet synchronisation for configured fields.</w:t>
      </w:r>
    </w:p>
    <w:p w14:paraId="3E386059" w14:textId="77777777" w:rsidR="005D660E" w:rsidRDefault="00557DBA">
      <w:pPr>
        <w:pStyle w:val="ListBullet"/>
        <w:rPr>
          <w:rFonts w:hint="eastAsia"/>
        </w:rPr>
      </w:pPr>
      <w:r>
        <w:t>Conditional greying and clearing of irrelevant fields.</w:t>
      </w:r>
    </w:p>
    <w:p w14:paraId="13D5114C" w14:textId="77777777" w:rsidR="005D660E" w:rsidRDefault="00557DBA">
      <w:pPr>
        <w:pStyle w:val="ListBullet"/>
        <w:rPr>
          <w:rFonts w:hint="eastAsia"/>
        </w:rPr>
      </w:pPr>
      <w:r>
        <w:t>ISO-compatible full and partial date normalisation.</w:t>
      </w:r>
    </w:p>
    <w:p w14:paraId="700557B7" w14:textId="77777777" w:rsidR="005D660E" w:rsidRDefault="00557DBA">
      <w:pPr>
        <w:pStyle w:val="ListBullet"/>
        <w:rPr>
          <w:rFonts w:hint="eastAsia"/>
        </w:rPr>
      </w:pPr>
      <w:r>
        <w:t>Automatic date-difference calculations with manual fallback.</w:t>
      </w:r>
    </w:p>
    <w:p w14:paraId="1802EFC9" w14:textId="77777777" w:rsidR="005D660E" w:rsidRDefault="00557DBA">
      <w:pPr>
        <w:pStyle w:val="ListBullet"/>
        <w:rPr>
          <w:rFonts w:hint="eastAsia"/>
        </w:rPr>
      </w:pPr>
      <w:r>
        <w:t>Dependent pathogen type → organism dropdowns.</w:t>
      </w:r>
    </w:p>
    <w:p w14:paraId="43B59F80" w14:textId="77777777" w:rsidR="005D660E" w:rsidRDefault="00557DBA">
      <w:pPr>
        <w:pStyle w:val="ListBullet"/>
        <w:rPr>
          <w:rFonts w:hint="eastAsia"/>
        </w:rPr>
      </w:pPr>
      <w:r>
        <w:t>General and organism-specific Other prompts.</w:t>
      </w:r>
    </w:p>
    <w:p w14:paraId="29B4D528" w14:textId="77777777" w:rsidR="005D660E" w:rsidRDefault="00557DBA">
      <w:pPr>
        <w:pStyle w:val="ListBullet"/>
        <w:rPr>
          <w:rFonts w:hint="eastAsia"/>
        </w:rPr>
      </w:pPr>
      <w:r>
        <w:t>Multi-select for pregnancy history and obstetric history using semicolon separators.</w:t>
      </w:r>
    </w:p>
    <w:p w14:paraId="19622957" w14:textId="77777777" w:rsidR="005D660E" w:rsidRDefault="00557DBA">
      <w:pPr>
        <w:pStyle w:val="ListBullet"/>
        <w:rPr>
          <w:rFonts w:hint="eastAsia"/>
        </w:rPr>
      </w:pPr>
      <w:r>
        <w:t>Independent repeated AST date fields.</w:t>
      </w:r>
    </w:p>
    <w:p w14:paraId="65D89EDB" w14:textId="77777777" w:rsidR="005D660E" w:rsidRDefault="00557DBA">
      <w:pPr>
        <w:pStyle w:val="Heading1"/>
      </w:pPr>
      <w:r>
        <w:t>20. Records</w:t>
      </w:r>
    </w:p>
    <w:p w14:paraId="425336DD" w14:textId="732CAF5B" w:rsidR="005D660E" w:rsidRDefault="00557DBA">
      <w:pPr>
        <w:rPr>
          <w:rFonts w:hint="eastAsia"/>
        </w:rPr>
      </w:pPr>
      <w:r>
        <w:t>Completed metadata workbooks, released template versions, change logs, validation records, and approved SOP versions should be retained according to the organisation’s document-retention and data-governance requirements.</w:t>
      </w:r>
    </w:p>
    <w:p w14:paraId="14503D88" w14:textId="65554D77" w:rsidR="0032025E" w:rsidRDefault="0032025E">
      <w:pPr>
        <w:rPr>
          <w:rFonts w:hint="eastAsia"/>
        </w:rPr>
      </w:pPr>
    </w:p>
    <w:p w14:paraId="03460695" w14:textId="77777777" w:rsidR="0032025E" w:rsidRPr="0032025E" w:rsidRDefault="0032025E" w:rsidP="0032025E">
      <w:pPr>
        <w:rPr>
          <w:rFonts w:asciiTheme="majorHAnsi" w:hAnsiTheme="majorHAnsi" w:cstheme="majorHAnsi"/>
          <w:sz w:val="22"/>
          <w:szCs w:val="24"/>
        </w:rPr>
      </w:pPr>
      <w:bookmarkStart w:id="0" w:name="_Toc234569974"/>
      <w:r w:rsidRPr="0032025E">
        <w:rPr>
          <w:rFonts w:asciiTheme="majorHAnsi" w:hAnsiTheme="majorHAnsi" w:cstheme="majorHAnsi"/>
          <w:b/>
          <w:bCs/>
          <w:color w:val="1F2A44"/>
          <w:sz w:val="32"/>
          <w:szCs w:val="32"/>
        </w:rPr>
        <w:t>Revision history</w:t>
      </w:r>
      <w:bookmarkEnd w:id="0"/>
    </w:p>
    <w:tbl>
      <w:tblPr>
        <w:tblW w:w="9718" w:type="dxa"/>
        <w:tblBorders>
          <w:top w:val="single" w:sz="2" w:space="0" w:color="C9D3E0"/>
          <w:left w:val="single" w:sz="2" w:space="0" w:color="C9D3E0"/>
          <w:bottom w:val="single" w:sz="2" w:space="0" w:color="C9D3E0"/>
          <w:right w:val="single" w:sz="2" w:space="0" w:color="C9D3E0"/>
          <w:insideH w:val="single" w:sz="2" w:space="0" w:color="C9D3E0"/>
          <w:insideV w:val="single" w:sz="2" w:space="0" w:color="C9D3E0"/>
        </w:tblBorders>
        <w:tblCellMar>
          <w:left w:w="10" w:type="dxa"/>
          <w:right w:w="10" w:type="dxa"/>
        </w:tblCellMar>
        <w:tblLook w:val="0000" w:firstRow="0" w:lastRow="0" w:firstColumn="0" w:lastColumn="0" w:noHBand="0" w:noVBand="0"/>
      </w:tblPr>
      <w:tblGrid>
        <w:gridCol w:w="1400"/>
        <w:gridCol w:w="1939"/>
        <w:gridCol w:w="2478"/>
        <w:gridCol w:w="3901"/>
      </w:tblGrid>
      <w:tr w:rsidR="0032025E" w14:paraId="56347B62" w14:textId="77777777" w:rsidTr="00B75DA1">
        <w:trPr>
          <w:trHeight w:val="626"/>
          <w:tblHeader/>
        </w:trPr>
        <w:tc>
          <w:tcPr>
            <w:tcW w:w="1400" w:type="dxa"/>
            <w:shd w:val="clear" w:color="auto" w:fill="8DB3E2" w:themeFill="text2" w:themeFillTint="66"/>
            <w:tcMar>
              <w:top w:w="60" w:type="dxa"/>
              <w:left w:w="110" w:type="dxa"/>
              <w:bottom w:w="60" w:type="dxa"/>
              <w:right w:w="110" w:type="dxa"/>
            </w:tcMar>
            <w:vAlign w:val="center"/>
          </w:tcPr>
          <w:p w14:paraId="30772B31"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b/>
                <w:bCs/>
                <w:color w:val="FFFFFF"/>
                <w:sz w:val="20"/>
                <w:szCs w:val="20"/>
              </w:rPr>
              <w:t>Version</w:t>
            </w:r>
          </w:p>
        </w:tc>
        <w:tc>
          <w:tcPr>
            <w:tcW w:w="1939" w:type="dxa"/>
            <w:shd w:val="clear" w:color="auto" w:fill="8DB3E2" w:themeFill="text2" w:themeFillTint="66"/>
            <w:tcMar>
              <w:top w:w="60" w:type="dxa"/>
              <w:left w:w="110" w:type="dxa"/>
              <w:bottom w:w="60" w:type="dxa"/>
              <w:right w:w="110" w:type="dxa"/>
            </w:tcMar>
            <w:vAlign w:val="center"/>
          </w:tcPr>
          <w:p w14:paraId="66C0BEF5"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b/>
                <w:bCs/>
                <w:color w:val="FFFFFF"/>
                <w:sz w:val="20"/>
                <w:szCs w:val="20"/>
              </w:rPr>
              <w:t>Date</w:t>
            </w:r>
          </w:p>
        </w:tc>
        <w:tc>
          <w:tcPr>
            <w:tcW w:w="2478" w:type="dxa"/>
            <w:shd w:val="clear" w:color="auto" w:fill="8DB3E2" w:themeFill="text2" w:themeFillTint="66"/>
            <w:tcMar>
              <w:top w:w="60" w:type="dxa"/>
              <w:left w:w="110" w:type="dxa"/>
              <w:bottom w:w="60" w:type="dxa"/>
              <w:right w:w="110" w:type="dxa"/>
            </w:tcMar>
            <w:vAlign w:val="center"/>
          </w:tcPr>
          <w:p w14:paraId="0B6AAAC7"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b/>
                <w:bCs/>
                <w:color w:val="FFFFFF"/>
                <w:sz w:val="20"/>
                <w:szCs w:val="20"/>
              </w:rPr>
              <w:t>Author</w:t>
            </w:r>
          </w:p>
        </w:tc>
        <w:tc>
          <w:tcPr>
            <w:tcW w:w="3901" w:type="dxa"/>
            <w:shd w:val="clear" w:color="auto" w:fill="8DB3E2" w:themeFill="text2" w:themeFillTint="66"/>
            <w:tcMar>
              <w:top w:w="60" w:type="dxa"/>
              <w:left w:w="110" w:type="dxa"/>
              <w:bottom w:w="60" w:type="dxa"/>
              <w:right w:w="110" w:type="dxa"/>
            </w:tcMar>
            <w:vAlign w:val="center"/>
          </w:tcPr>
          <w:p w14:paraId="16264BBE"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b/>
                <w:bCs/>
                <w:color w:val="FFFFFF"/>
                <w:sz w:val="20"/>
                <w:szCs w:val="20"/>
              </w:rPr>
              <w:t>Summary of change</w:t>
            </w:r>
          </w:p>
        </w:tc>
      </w:tr>
      <w:tr w:rsidR="0032025E" w14:paraId="3084E2AC" w14:textId="77777777" w:rsidTr="00B75DA1">
        <w:trPr>
          <w:trHeight w:val="626"/>
        </w:trPr>
        <w:tc>
          <w:tcPr>
            <w:tcW w:w="1400" w:type="dxa"/>
            <w:tcMar>
              <w:top w:w="60" w:type="dxa"/>
              <w:left w:w="110" w:type="dxa"/>
              <w:bottom w:w="60" w:type="dxa"/>
              <w:right w:w="110" w:type="dxa"/>
            </w:tcMar>
            <w:vAlign w:val="center"/>
          </w:tcPr>
          <w:p w14:paraId="366E43C1"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sz w:val="20"/>
                <w:szCs w:val="20"/>
              </w:rPr>
              <w:t>1.0</w:t>
            </w:r>
          </w:p>
        </w:tc>
        <w:tc>
          <w:tcPr>
            <w:tcW w:w="1939" w:type="dxa"/>
            <w:tcMar>
              <w:top w:w="60" w:type="dxa"/>
              <w:left w:w="110" w:type="dxa"/>
              <w:bottom w:w="60" w:type="dxa"/>
              <w:right w:w="110" w:type="dxa"/>
            </w:tcMar>
            <w:vAlign w:val="center"/>
          </w:tcPr>
          <w:p w14:paraId="3F2A2532"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sz w:val="20"/>
                <w:szCs w:val="20"/>
              </w:rPr>
              <w:t>[YYYY-DD-MM]</w:t>
            </w:r>
          </w:p>
        </w:tc>
        <w:tc>
          <w:tcPr>
            <w:tcW w:w="2478" w:type="dxa"/>
            <w:tcMar>
              <w:top w:w="60" w:type="dxa"/>
              <w:left w:w="110" w:type="dxa"/>
              <w:bottom w:w="60" w:type="dxa"/>
              <w:right w:w="110" w:type="dxa"/>
            </w:tcMar>
            <w:vAlign w:val="center"/>
          </w:tcPr>
          <w:p w14:paraId="4EE1C016" w14:textId="77777777"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sz w:val="20"/>
                <w:szCs w:val="20"/>
              </w:rPr>
              <w:t>[Name]</w:t>
            </w:r>
          </w:p>
        </w:tc>
        <w:tc>
          <w:tcPr>
            <w:tcW w:w="3901" w:type="dxa"/>
            <w:tcMar>
              <w:top w:w="60" w:type="dxa"/>
              <w:left w:w="110" w:type="dxa"/>
              <w:bottom w:w="60" w:type="dxa"/>
              <w:right w:w="110" w:type="dxa"/>
            </w:tcMar>
            <w:vAlign w:val="center"/>
          </w:tcPr>
          <w:p w14:paraId="4592EC6D" w14:textId="22A78649" w:rsidR="0032025E" w:rsidRPr="0032025E" w:rsidRDefault="0032025E" w:rsidP="00EE7554">
            <w:pPr>
              <w:spacing w:line="264" w:lineRule="auto"/>
              <w:rPr>
                <w:rFonts w:asciiTheme="majorHAnsi" w:hAnsiTheme="majorHAnsi" w:cstheme="majorHAnsi"/>
              </w:rPr>
            </w:pPr>
            <w:r w:rsidRPr="0032025E">
              <w:rPr>
                <w:rFonts w:asciiTheme="majorHAnsi" w:hAnsiTheme="majorHAnsi" w:cstheme="majorHAnsi"/>
                <w:sz w:val="20"/>
                <w:szCs w:val="20"/>
              </w:rPr>
              <w:t xml:space="preserve">Initial release, for </w:t>
            </w:r>
            <w:r w:rsidR="00B75DA1">
              <w:rPr>
                <w:rFonts w:asciiTheme="majorHAnsi" w:hAnsiTheme="majorHAnsi" w:cstheme="majorHAnsi"/>
                <w:sz w:val="20"/>
                <w:szCs w:val="20"/>
              </w:rPr>
              <w:t>template</w:t>
            </w:r>
            <w:r w:rsidRPr="0032025E">
              <w:rPr>
                <w:rFonts w:asciiTheme="majorHAnsi" w:hAnsiTheme="majorHAnsi" w:cstheme="majorHAnsi"/>
                <w:sz w:val="20"/>
                <w:szCs w:val="20"/>
              </w:rPr>
              <w:t xml:space="preserve"> v2.0.0.1.</w:t>
            </w:r>
          </w:p>
        </w:tc>
      </w:tr>
      <w:tr w:rsidR="0032025E" w14:paraId="44B3AEB7" w14:textId="77777777" w:rsidTr="00B75DA1">
        <w:trPr>
          <w:trHeight w:val="650"/>
        </w:trPr>
        <w:tc>
          <w:tcPr>
            <w:tcW w:w="1400" w:type="dxa"/>
            <w:tcMar>
              <w:top w:w="60" w:type="dxa"/>
              <w:left w:w="110" w:type="dxa"/>
              <w:bottom w:w="60" w:type="dxa"/>
              <w:right w:w="110" w:type="dxa"/>
            </w:tcMar>
            <w:vAlign w:val="center"/>
          </w:tcPr>
          <w:p w14:paraId="74F8A87D" w14:textId="77777777" w:rsidR="0032025E" w:rsidRPr="0032025E" w:rsidRDefault="0032025E" w:rsidP="00EE7554">
            <w:pPr>
              <w:spacing w:line="264" w:lineRule="auto"/>
              <w:rPr>
                <w:rFonts w:asciiTheme="majorHAnsi" w:hAnsiTheme="majorHAnsi" w:cstheme="majorHAnsi"/>
              </w:rPr>
            </w:pPr>
          </w:p>
        </w:tc>
        <w:tc>
          <w:tcPr>
            <w:tcW w:w="1939" w:type="dxa"/>
            <w:tcMar>
              <w:top w:w="60" w:type="dxa"/>
              <w:left w:w="110" w:type="dxa"/>
              <w:bottom w:w="60" w:type="dxa"/>
              <w:right w:w="110" w:type="dxa"/>
            </w:tcMar>
            <w:vAlign w:val="center"/>
          </w:tcPr>
          <w:p w14:paraId="0264B29C" w14:textId="77777777" w:rsidR="0032025E" w:rsidRPr="0032025E" w:rsidRDefault="0032025E" w:rsidP="00EE7554">
            <w:pPr>
              <w:spacing w:line="264" w:lineRule="auto"/>
              <w:rPr>
                <w:rFonts w:asciiTheme="majorHAnsi" w:hAnsiTheme="majorHAnsi" w:cstheme="majorHAnsi"/>
              </w:rPr>
            </w:pPr>
          </w:p>
        </w:tc>
        <w:tc>
          <w:tcPr>
            <w:tcW w:w="2478" w:type="dxa"/>
            <w:tcMar>
              <w:top w:w="60" w:type="dxa"/>
              <w:left w:w="110" w:type="dxa"/>
              <w:bottom w:w="60" w:type="dxa"/>
              <w:right w:w="110" w:type="dxa"/>
            </w:tcMar>
            <w:vAlign w:val="center"/>
          </w:tcPr>
          <w:p w14:paraId="6C24AD10" w14:textId="77777777" w:rsidR="0032025E" w:rsidRPr="0032025E" w:rsidRDefault="0032025E" w:rsidP="00EE7554">
            <w:pPr>
              <w:spacing w:line="264" w:lineRule="auto"/>
              <w:rPr>
                <w:rFonts w:asciiTheme="majorHAnsi" w:hAnsiTheme="majorHAnsi" w:cstheme="majorHAnsi"/>
              </w:rPr>
            </w:pPr>
          </w:p>
        </w:tc>
        <w:tc>
          <w:tcPr>
            <w:tcW w:w="3901" w:type="dxa"/>
            <w:tcMar>
              <w:top w:w="60" w:type="dxa"/>
              <w:left w:w="110" w:type="dxa"/>
              <w:bottom w:w="60" w:type="dxa"/>
              <w:right w:w="110" w:type="dxa"/>
            </w:tcMar>
            <w:vAlign w:val="center"/>
          </w:tcPr>
          <w:p w14:paraId="561026F7" w14:textId="77777777" w:rsidR="0032025E" w:rsidRPr="0032025E" w:rsidRDefault="0032025E" w:rsidP="00EE7554">
            <w:pPr>
              <w:spacing w:line="264" w:lineRule="auto"/>
              <w:rPr>
                <w:rFonts w:asciiTheme="majorHAnsi" w:hAnsiTheme="majorHAnsi" w:cstheme="majorHAnsi"/>
              </w:rPr>
            </w:pPr>
          </w:p>
        </w:tc>
      </w:tr>
    </w:tbl>
    <w:p w14:paraId="1489BDE0" w14:textId="77777777" w:rsidR="0032025E" w:rsidRDefault="0032025E">
      <w:pPr>
        <w:rPr>
          <w:rFonts w:hint="eastAsia"/>
        </w:rPr>
      </w:pPr>
    </w:p>
    <w:sectPr w:rsidR="0032025E"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0C5CF" w14:textId="77777777" w:rsidR="00A87947" w:rsidRDefault="00A87947">
      <w:pPr>
        <w:spacing w:after="0" w:line="240" w:lineRule="auto"/>
        <w:rPr>
          <w:rFonts w:hint="eastAsia"/>
        </w:rPr>
      </w:pPr>
      <w:r>
        <w:separator/>
      </w:r>
    </w:p>
  </w:endnote>
  <w:endnote w:type="continuationSeparator" w:id="0">
    <w:p w14:paraId="6F190459" w14:textId="77777777" w:rsidR="00A87947" w:rsidRDefault="00A879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FC12F" w14:textId="77777777" w:rsidR="005D660E" w:rsidRDefault="00557DBA">
    <w:pPr>
      <w:pStyle w:val="Footer"/>
      <w:jc w:val="center"/>
      <w:rPr>
        <w:rFonts w:hint="eastAsia"/>
      </w:rPr>
    </w:pPr>
    <w:r>
      <w:rPr>
        <w:sz w:val="16"/>
      </w:rPr>
      <w:t>SOP-MDT-001 | Metadata Collection Excel Template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128C9" w14:textId="77777777" w:rsidR="00A87947" w:rsidRDefault="00A87947">
      <w:pPr>
        <w:spacing w:after="0" w:line="240" w:lineRule="auto"/>
        <w:rPr>
          <w:rFonts w:hint="eastAsia"/>
        </w:rPr>
      </w:pPr>
      <w:r>
        <w:separator/>
      </w:r>
    </w:p>
  </w:footnote>
  <w:footnote w:type="continuationSeparator" w:id="0">
    <w:p w14:paraId="1F8D2364" w14:textId="77777777" w:rsidR="00A87947" w:rsidRDefault="00A8794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825"/>
    <w:rsid w:val="0029639D"/>
    <w:rsid w:val="003155BA"/>
    <w:rsid w:val="0032025E"/>
    <w:rsid w:val="00326F90"/>
    <w:rsid w:val="00557DBA"/>
    <w:rsid w:val="005D660E"/>
    <w:rsid w:val="008F7D2B"/>
    <w:rsid w:val="00A87947"/>
    <w:rsid w:val="00AA1D8D"/>
    <w:rsid w:val="00B47730"/>
    <w:rsid w:val="00B75DA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0E976E"/>
  <w14:defaultImageDpi w14:val="300"/>
  <w15:docId w15:val="{8F4856E7-2AB2-484B-9925-4E031F521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1801</Words>
  <Characters>10268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Dominique  Anderson</cp:lastModifiedBy>
  <cp:revision>5</cp:revision>
  <dcterms:created xsi:type="dcterms:W3CDTF">2013-12-23T23:15:00Z</dcterms:created>
  <dcterms:modified xsi:type="dcterms:W3CDTF">2026-07-14T07:45:00Z</dcterms:modified>
  <cp:category/>
</cp:coreProperties>
</file>