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8CA9" w14:textId="1538E37C" w:rsidR="00B53CF6" w:rsidRPr="00E435B7" w:rsidRDefault="00595C4F" w:rsidP="00595C4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435B7">
        <w:rPr>
          <w:rFonts w:ascii="Arial" w:hAnsi="Arial" w:cs="Arial"/>
          <w:b/>
          <w:bCs/>
          <w:sz w:val="24"/>
          <w:szCs w:val="24"/>
        </w:rPr>
        <w:t>ESTRUTURA BASE PARA MANUAIS DE PRODUTO</w:t>
      </w:r>
    </w:p>
    <w:p w14:paraId="68FE69CA" w14:textId="77777777" w:rsidR="004069E2" w:rsidRPr="00E435B7" w:rsidRDefault="004069E2" w:rsidP="00595C4F">
      <w:pPr>
        <w:rPr>
          <w:rFonts w:ascii="Arial" w:hAnsi="Arial" w:cs="Arial"/>
          <w:sz w:val="24"/>
          <w:szCs w:val="24"/>
        </w:rPr>
      </w:pPr>
    </w:p>
    <w:p w14:paraId="5085DC54" w14:textId="04F4AE5B" w:rsidR="009A5683" w:rsidRPr="00E435B7" w:rsidRDefault="00F26051" w:rsidP="00F2605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435B7">
        <w:rPr>
          <w:rFonts w:ascii="Arial" w:hAnsi="Arial" w:cs="Arial"/>
          <w:b/>
          <w:bCs/>
          <w:sz w:val="24"/>
          <w:szCs w:val="24"/>
        </w:rPr>
        <w:t xml:space="preserve">EXPRESSÕES FACIAIS </w:t>
      </w:r>
    </w:p>
    <w:p w14:paraId="55181526" w14:textId="3D5587A5" w:rsidR="00177A9E" w:rsidRPr="00E435B7" w:rsidRDefault="00177A9E" w:rsidP="00B80ADE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A face é um importante elo de comunicação inter-humana, e sua aparência transmite características pessoais, tais como saúde, emoções e idade.</w:t>
      </w:r>
      <w:r w:rsidR="00DE20B3" w:rsidRPr="00E435B7">
        <w:rPr>
          <w:rFonts w:ascii="Arial" w:hAnsi="Arial" w:cs="Arial"/>
          <w:sz w:val="24"/>
          <w:szCs w:val="24"/>
          <w:vertAlign w:val="superscript"/>
        </w:rPr>
        <w:t>1</w:t>
      </w:r>
    </w:p>
    <w:p w14:paraId="31AC2337" w14:textId="1D64190F" w:rsidR="00FD2B70" w:rsidRPr="00E435B7" w:rsidRDefault="004A6AE7" w:rsidP="00E64C9E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As expressões de emoções são gestos faciais que </w:t>
      </w:r>
      <w:r w:rsidR="00D30398" w:rsidRPr="00E435B7">
        <w:rPr>
          <w:rFonts w:ascii="Arial" w:hAnsi="Arial" w:cs="Arial"/>
          <w:sz w:val="24"/>
          <w:szCs w:val="24"/>
        </w:rPr>
        <w:t>refletem</w:t>
      </w:r>
      <w:r w:rsidRPr="00E435B7">
        <w:rPr>
          <w:rFonts w:ascii="Arial" w:hAnsi="Arial" w:cs="Arial"/>
          <w:sz w:val="24"/>
          <w:szCs w:val="24"/>
        </w:rPr>
        <w:t xml:space="preserve"> as mesmas. Existem universais e culturalmente variáveis. </w:t>
      </w:r>
      <w:r w:rsidR="003B0D80" w:rsidRPr="00E435B7">
        <w:rPr>
          <w:rFonts w:ascii="Arial" w:hAnsi="Arial" w:cs="Arial"/>
          <w:sz w:val="24"/>
          <w:szCs w:val="24"/>
        </w:rPr>
        <w:t>A</w:t>
      </w:r>
      <w:r w:rsidRPr="00E435B7">
        <w:rPr>
          <w:rFonts w:ascii="Arial" w:hAnsi="Arial" w:cs="Arial"/>
          <w:sz w:val="24"/>
          <w:szCs w:val="24"/>
        </w:rPr>
        <w:t>s expressões de emoções são os signos faciais que se manifestam mais vezes durante uma interação social. Existe um fator primordial que diferencia a manifestação emocional de cultura para cultura, pois em alguns países asiáticos as pessoas são encorajadas a ocultar ao máximo a sua manifestação emocional e, por outro lado, em países latinos é exatamente o oposto.</w:t>
      </w:r>
      <w:r w:rsidR="0025143D" w:rsidRPr="00E435B7">
        <w:rPr>
          <w:rFonts w:ascii="Arial" w:hAnsi="Arial" w:cs="Arial"/>
          <w:sz w:val="24"/>
          <w:szCs w:val="24"/>
          <w:vertAlign w:val="superscript"/>
        </w:rPr>
        <w:t>1</w:t>
      </w:r>
    </w:p>
    <w:p w14:paraId="45A8A6B0" w14:textId="3F378191" w:rsidR="00FD2B70" w:rsidRPr="00E435B7" w:rsidRDefault="00F26051" w:rsidP="00E64C9E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Posto isto, atualmente as sete expressões faciais de emoção, com aspetos universalmente reconhecidos, são </w:t>
      </w:r>
      <w:r w:rsidR="00975970" w:rsidRPr="00E435B7">
        <w:rPr>
          <w:rFonts w:ascii="Arial" w:hAnsi="Arial" w:cs="Arial"/>
          <w:sz w:val="24"/>
          <w:szCs w:val="24"/>
        </w:rPr>
        <w:t>identificadas</w:t>
      </w:r>
      <w:r w:rsidRPr="00E435B7">
        <w:rPr>
          <w:rFonts w:ascii="Arial" w:hAnsi="Arial" w:cs="Arial"/>
          <w:sz w:val="24"/>
          <w:szCs w:val="24"/>
        </w:rPr>
        <w:t xml:space="preserve"> como Surpresa, Medo, Nojo, Desprezo, Raiva, Alegria e Tristeza</w:t>
      </w:r>
      <w:r w:rsidR="0025143D" w:rsidRPr="00E435B7">
        <w:rPr>
          <w:rFonts w:ascii="Arial" w:hAnsi="Arial" w:cs="Arial"/>
          <w:sz w:val="24"/>
          <w:szCs w:val="24"/>
        </w:rPr>
        <w:t>.</w:t>
      </w:r>
      <w:r w:rsidR="0025143D" w:rsidRPr="00E435B7">
        <w:rPr>
          <w:rFonts w:ascii="Arial" w:hAnsi="Arial" w:cs="Arial"/>
          <w:sz w:val="24"/>
          <w:szCs w:val="24"/>
          <w:vertAlign w:val="superscript"/>
        </w:rPr>
        <w:t>2</w:t>
      </w:r>
    </w:p>
    <w:p w14:paraId="72E5AEA6" w14:textId="2A7B0993" w:rsidR="00F34EA7" w:rsidRPr="00E435B7" w:rsidRDefault="00FD2B70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2B25A4" wp14:editId="7EAABE5C">
            <wp:extent cx="5400040" cy="1325880"/>
            <wp:effectExtent l="0" t="0" r="0" b="7620"/>
            <wp:docPr id="254394761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4761" name="Imagem 1" descr="Interface gráfica do usuário, Texto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8647" w14:textId="77777777" w:rsidR="004A6AE7" w:rsidRPr="00E435B7" w:rsidRDefault="004A6AE7" w:rsidP="00595C4F">
      <w:pPr>
        <w:rPr>
          <w:rFonts w:ascii="Arial" w:hAnsi="Arial" w:cs="Arial"/>
          <w:sz w:val="24"/>
          <w:szCs w:val="24"/>
        </w:rPr>
      </w:pPr>
    </w:p>
    <w:p w14:paraId="329D67D0" w14:textId="1A354EA2" w:rsidR="009A5683" w:rsidRPr="00E435B7" w:rsidRDefault="0039216B" w:rsidP="00F16E7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435B7">
        <w:rPr>
          <w:rFonts w:ascii="Arial" w:hAnsi="Arial" w:cs="Arial"/>
          <w:b/>
          <w:bCs/>
          <w:sz w:val="24"/>
          <w:szCs w:val="24"/>
        </w:rPr>
        <w:t xml:space="preserve">MÚSCULOS DA MÍMICA FACIAL </w:t>
      </w:r>
    </w:p>
    <w:p w14:paraId="110A1ECA" w14:textId="36638D1F" w:rsidR="005B77D1" w:rsidRPr="00E435B7" w:rsidRDefault="005B77D1" w:rsidP="00506D6E">
      <w:pPr>
        <w:pStyle w:val="NormalWeb"/>
        <w:shd w:val="clear" w:color="auto" w:fill="FFFFFF"/>
        <w:spacing w:before="0" w:beforeAutospacing="0" w:after="450" w:afterAutospacing="0"/>
        <w:ind w:firstLine="708"/>
        <w:textAlignment w:val="baseline"/>
        <w:rPr>
          <w:rFonts w:ascii="Arial" w:hAnsi="Arial" w:cs="Arial"/>
          <w:color w:val="444444"/>
        </w:rPr>
      </w:pPr>
      <w:r w:rsidRPr="00E435B7">
        <w:rPr>
          <w:rFonts w:ascii="Arial" w:hAnsi="Arial" w:cs="Arial"/>
          <w:color w:val="444444"/>
        </w:rPr>
        <w:t>Nossa face é repleta de músculos, chamados de músculos da expressão facial ou músculos da mímica facial, justamente por serem os responsáveis por tais expressões da face.</w:t>
      </w:r>
      <w:r w:rsidR="00506D6E" w:rsidRPr="00E435B7">
        <w:rPr>
          <w:rFonts w:ascii="Arial" w:hAnsi="Arial" w:cs="Arial"/>
          <w:color w:val="444444"/>
        </w:rPr>
        <w:t xml:space="preserve"> </w:t>
      </w:r>
      <w:r w:rsidRPr="00E435B7">
        <w:rPr>
          <w:rFonts w:ascii="Arial" w:hAnsi="Arial" w:cs="Arial"/>
          <w:color w:val="444444"/>
        </w:rPr>
        <w:t>A palavra mímica quer dizer: “maneira de expressar o pensamento por meio de gestões, expressões corporais e fisionômicas. Ou seja, é uma forma de comunicação e interação humana. Da mesma forma, a mímica facial é uma ferramenta importantíssima nas relações humanas, permitindo identificar sentimentos</w:t>
      </w:r>
      <w:r w:rsidR="00506D6E" w:rsidRPr="00E435B7">
        <w:rPr>
          <w:rFonts w:ascii="Arial" w:hAnsi="Arial" w:cs="Arial"/>
          <w:color w:val="444444"/>
        </w:rPr>
        <w:t xml:space="preserve">. </w:t>
      </w:r>
      <w:r w:rsidR="00606FD3" w:rsidRPr="00E435B7">
        <w:rPr>
          <w:rFonts w:ascii="Arial" w:hAnsi="Arial" w:cs="Arial"/>
          <w:color w:val="444444"/>
        </w:rPr>
        <w:t>5</w:t>
      </w:r>
    </w:p>
    <w:p w14:paraId="2B3DA68E" w14:textId="2429B0E9" w:rsidR="005B77D1" w:rsidRPr="00E435B7" w:rsidRDefault="00E5781C" w:rsidP="00861815">
      <w:pPr>
        <w:pStyle w:val="NormalWeb"/>
        <w:shd w:val="clear" w:color="auto" w:fill="FFFFFF"/>
        <w:spacing w:before="0" w:beforeAutospacing="0" w:after="450" w:afterAutospacing="0"/>
        <w:ind w:firstLine="708"/>
        <w:textAlignment w:val="baseline"/>
        <w:rPr>
          <w:rFonts w:ascii="Arial" w:hAnsi="Arial" w:cs="Arial"/>
          <w:color w:val="444444"/>
        </w:rPr>
      </w:pPr>
      <w:r w:rsidRPr="00E435B7">
        <w:rPr>
          <w:rFonts w:ascii="Arial" w:hAnsi="Arial" w:cs="Arial"/>
          <w:color w:val="444444"/>
          <w:shd w:val="clear" w:color="auto" w:fill="FFFFFF"/>
        </w:rPr>
        <w:t>Começando pela fronte, temos o </w:t>
      </w:r>
      <w:r w:rsidRPr="00E435B7">
        <w:rPr>
          <w:rStyle w:val="Forte"/>
          <w:rFonts w:ascii="Arial" w:eastAsiaTheme="majorEastAsia" w:hAnsi="Arial" w:cs="Arial"/>
          <w:color w:val="444444"/>
          <w:bdr w:val="none" w:sz="0" w:space="0" w:color="auto" w:frame="1"/>
          <w:shd w:val="clear" w:color="auto" w:fill="FFFFFF"/>
        </w:rPr>
        <w:t>músculo occipitofrontal. </w:t>
      </w:r>
      <w:r w:rsidRPr="00E435B7">
        <w:rPr>
          <w:rFonts w:ascii="Arial" w:hAnsi="Arial" w:cs="Arial"/>
          <w:color w:val="444444"/>
          <w:shd w:val="clear" w:color="auto" w:fill="FFFFFF"/>
        </w:rPr>
        <w:t>É um músculo plano.</w:t>
      </w:r>
      <w:r w:rsidR="005A2CE0" w:rsidRPr="00E435B7">
        <w:rPr>
          <w:rFonts w:ascii="Arial" w:hAnsi="Arial" w:cs="Arial"/>
        </w:rPr>
        <w:t xml:space="preserve"> </w:t>
      </w:r>
      <w:r w:rsidR="005A2CE0" w:rsidRPr="00E435B7">
        <w:rPr>
          <w:rFonts w:ascii="Arial" w:hAnsi="Arial" w:cs="Arial"/>
          <w:color w:val="444444"/>
          <w:shd w:val="clear" w:color="auto" w:fill="FFFFFF"/>
        </w:rPr>
        <w:t>O músculo frontal é o único músculo responsável pela elevação da sobrancelha</w:t>
      </w:r>
      <w:r w:rsidRPr="00E435B7">
        <w:rPr>
          <w:rFonts w:ascii="Arial" w:hAnsi="Arial" w:cs="Arial"/>
          <w:color w:val="444444"/>
          <w:shd w:val="clear" w:color="auto" w:fill="FFFFFF"/>
        </w:rPr>
        <w:t xml:space="preserve">. Em relação a mímica facial, o ventre frontal possui um papel </w:t>
      </w:r>
      <w:r w:rsidRPr="00E435B7">
        <w:rPr>
          <w:rFonts w:ascii="Arial" w:hAnsi="Arial" w:cs="Arial"/>
          <w:color w:val="444444"/>
          <w:shd w:val="clear" w:color="auto" w:fill="FFFFFF"/>
        </w:rPr>
        <w:lastRenderedPageBreak/>
        <w:t>mais importante, pois, ao se contrair, forma rugas transversais na fronte (testa</w:t>
      </w:r>
      <w:r w:rsidR="00F3488A" w:rsidRPr="00E435B7">
        <w:rPr>
          <w:rFonts w:ascii="Arial" w:hAnsi="Arial" w:cs="Arial"/>
          <w:color w:val="444444"/>
          <w:shd w:val="clear" w:color="auto" w:fill="FFFFFF"/>
        </w:rPr>
        <w:t xml:space="preserve">). </w:t>
      </w:r>
      <w:r w:rsidR="00606FD3" w:rsidRPr="00E435B7">
        <w:rPr>
          <w:rFonts w:ascii="Arial" w:hAnsi="Arial" w:cs="Arial"/>
          <w:color w:val="444444"/>
          <w:shd w:val="clear" w:color="auto" w:fill="FFFFFF"/>
        </w:rPr>
        <w:t>5</w:t>
      </w:r>
      <w:r w:rsidR="00EB4A0F" w:rsidRPr="00E435B7">
        <w:rPr>
          <w:rFonts w:ascii="Arial" w:hAnsi="Arial" w:cs="Arial"/>
          <w:color w:val="444444"/>
          <w:shd w:val="clear" w:color="auto" w:fill="FFFFFF"/>
        </w:rPr>
        <w:t xml:space="preserve"> </w:t>
      </w:r>
      <w:r w:rsidR="00B01E80" w:rsidRPr="00E435B7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96CB899" wp14:editId="198F2057">
            <wp:simplePos x="0" y="0"/>
            <wp:positionH relativeFrom="margin">
              <wp:posOffset>2604770</wp:posOffset>
            </wp:positionH>
            <wp:positionV relativeFrom="margin">
              <wp:posOffset>676275</wp:posOffset>
            </wp:positionV>
            <wp:extent cx="3103880" cy="2068830"/>
            <wp:effectExtent l="0" t="0" r="1270" b="7620"/>
            <wp:wrapSquare wrapText="bothSides"/>
            <wp:docPr id="778416291" name="Imagem 2" descr="Rugas na testa: por que acontecem e como evitar? - Minha V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ugas na testa: por que acontecem e como evitar? - Minha Vi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8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4A0F" w:rsidRPr="00E435B7">
        <w:rPr>
          <w:rFonts w:ascii="Arial" w:hAnsi="Arial" w:cs="Arial"/>
          <w:noProof/>
        </w:rPr>
        <w:drawing>
          <wp:inline distT="0" distB="0" distL="0" distR="0" wp14:anchorId="321E82C8" wp14:editId="6CFF23F9">
            <wp:extent cx="2333625" cy="3063020"/>
            <wp:effectExtent l="0" t="0" r="0" b="4445"/>
            <wp:docPr id="430245407" name="Imagem 1" descr="Occipitofrontalis: Origin, insertion and action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ccipitofrontalis: Origin, insertion and action | Kenhu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539" cy="307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1E80" w:rsidRPr="00E435B7">
        <w:rPr>
          <w:rFonts w:ascii="Arial" w:hAnsi="Arial" w:cs="Arial"/>
        </w:rPr>
        <w:t xml:space="preserve"> </w:t>
      </w:r>
    </w:p>
    <w:p w14:paraId="61B0B135" w14:textId="6A97BA55" w:rsidR="0039216B" w:rsidRPr="00E435B7" w:rsidRDefault="0039216B" w:rsidP="00595C4F">
      <w:pPr>
        <w:rPr>
          <w:rFonts w:ascii="Arial" w:hAnsi="Arial" w:cs="Arial"/>
          <w:sz w:val="24"/>
          <w:szCs w:val="24"/>
        </w:rPr>
      </w:pPr>
    </w:p>
    <w:p w14:paraId="49EE77F1" w14:textId="5BA210B7" w:rsidR="00C40691" w:rsidRPr="00E435B7" w:rsidRDefault="005B6D5F" w:rsidP="00072B78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Logo abaixo temos um músculo, muito menor do que o anterior, que é o </w:t>
      </w:r>
      <w:r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músculo corrugador do supercílio. </w:t>
      </w: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Esse músculo está localizado acima das órbitas. A contração desse músculo forma rugas verticais acima do nariz</w:t>
      </w:r>
      <w:r w:rsidR="00606FD3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. 5</w:t>
      </w:r>
    </w:p>
    <w:p w14:paraId="61A7C809" w14:textId="333E3309" w:rsidR="005B6D5F" w:rsidRPr="00E435B7" w:rsidRDefault="00380AC8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BA9895" wp14:editId="2464344D">
            <wp:extent cx="2209800" cy="2900492"/>
            <wp:effectExtent l="0" t="0" r="0" b="0"/>
            <wp:docPr id="1355672642" name="Imagem 3" descr="Músculo corrugador do supercílio: Origem, Inserção,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úsculo corrugador do supercílio: Origem, Inserção, Ação | Kenhu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81" cy="290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B78" w:rsidRPr="00E435B7">
        <w:rPr>
          <w:rFonts w:ascii="Arial" w:hAnsi="Arial" w:cs="Arial"/>
          <w:sz w:val="24"/>
          <w:szCs w:val="24"/>
        </w:rPr>
        <w:t xml:space="preserve"> </w:t>
      </w:r>
      <w:r w:rsidR="00072B78"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20D4A9" wp14:editId="707A14EA">
            <wp:extent cx="3023702" cy="2324100"/>
            <wp:effectExtent l="0" t="0" r="5715" b="0"/>
            <wp:docPr id="1463419346" name="Imagem 4" descr="Rugas – Dr. Fausto Viter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ugas – Dr. Fausto Viterb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702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0BCF" w14:textId="77777777" w:rsidR="005B6D5F" w:rsidRPr="00E435B7" w:rsidRDefault="005B6D5F" w:rsidP="00595C4F">
      <w:pPr>
        <w:rPr>
          <w:rFonts w:ascii="Arial" w:hAnsi="Arial" w:cs="Arial"/>
          <w:sz w:val="24"/>
          <w:szCs w:val="24"/>
        </w:rPr>
      </w:pPr>
    </w:p>
    <w:p w14:paraId="4817DF74" w14:textId="77777777" w:rsidR="005B6D5F" w:rsidRPr="00E435B7" w:rsidRDefault="005B6D5F" w:rsidP="00595C4F">
      <w:pPr>
        <w:rPr>
          <w:rFonts w:ascii="Arial" w:hAnsi="Arial" w:cs="Arial"/>
          <w:sz w:val="24"/>
          <w:szCs w:val="24"/>
        </w:rPr>
      </w:pPr>
    </w:p>
    <w:p w14:paraId="0BE9A506" w14:textId="77777777" w:rsidR="005B6D5F" w:rsidRPr="00E435B7" w:rsidRDefault="005B6D5F" w:rsidP="00595C4F">
      <w:pPr>
        <w:rPr>
          <w:rFonts w:ascii="Arial" w:hAnsi="Arial" w:cs="Arial"/>
          <w:sz w:val="24"/>
          <w:szCs w:val="24"/>
        </w:rPr>
      </w:pPr>
    </w:p>
    <w:p w14:paraId="0E01DE56" w14:textId="77777777" w:rsidR="00B07800" w:rsidRPr="00E435B7" w:rsidRDefault="00B07800" w:rsidP="00595C4F">
      <w:pPr>
        <w:rPr>
          <w:rFonts w:ascii="Arial" w:hAnsi="Arial" w:cs="Arial"/>
          <w:sz w:val="24"/>
          <w:szCs w:val="24"/>
        </w:rPr>
      </w:pPr>
    </w:p>
    <w:p w14:paraId="42996A91" w14:textId="7EC7CFF2" w:rsidR="00B07800" w:rsidRPr="00E435B7" w:rsidRDefault="00BF33D4" w:rsidP="00595C4F">
      <w:pPr>
        <w:rPr>
          <w:rFonts w:ascii="Arial" w:hAnsi="Arial" w:cs="Arial"/>
          <w:color w:val="444444"/>
          <w:sz w:val="24"/>
          <w:szCs w:val="24"/>
          <w:shd w:val="clear" w:color="auto" w:fill="FFFFFF"/>
        </w:rPr>
      </w:pP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lastRenderedPageBreak/>
        <w:t xml:space="preserve">O </w:t>
      </w:r>
      <w:r w:rsidR="00B07800"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músculo prócero</w:t>
      </w:r>
      <w:r w:rsidR="00B07800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, que recobre o dorso do nariz. Ele, juntamente com o </w:t>
      </w:r>
      <w:r w:rsidR="00B07800"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músculo nasal</w:t>
      </w:r>
      <w:r w:rsidR="00B07800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 (parte transversa), realiza a ação de abaixar a parte medial (parte mais próxima do nariz) do músculo corrugador do supercílio e enrugar a pele do dorso do nariz.</w:t>
      </w:r>
      <w:r w:rsidR="00606FD3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 5</w:t>
      </w:r>
    </w:p>
    <w:p w14:paraId="75DAAE34" w14:textId="7837C272" w:rsidR="00B07800" w:rsidRPr="00E435B7" w:rsidRDefault="00B07800" w:rsidP="00595C4F">
      <w:pPr>
        <w:rPr>
          <w:rFonts w:ascii="Arial" w:hAnsi="Arial" w:cs="Arial"/>
          <w:color w:val="444444"/>
          <w:sz w:val="24"/>
          <w:szCs w:val="24"/>
          <w:shd w:val="clear" w:color="auto" w:fill="FFFFFF"/>
        </w:rPr>
      </w:pPr>
    </w:p>
    <w:p w14:paraId="50AD184C" w14:textId="3352D25C" w:rsidR="00B07800" w:rsidRPr="00E435B7" w:rsidRDefault="00BF33D4" w:rsidP="00595C4F">
      <w:pPr>
        <w:rPr>
          <w:rFonts w:ascii="Arial" w:hAnsi="Arial" w:cs="Arial"/>
          <w:color w:val="444444"/>
          <w:sz w:val="24"/>
          <w:szCs w:val="24"/>
          <w:shd w:val="clear" w:color="auto" w:fill="FFFFFF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1543F38A" wp14:editId="0696DA0F">
            <wp:simplePos x="0" y="0"/>
            <wp:positionH relativeFrom="margin">
              <wp:posOffset>3185795</wp:posOffset>
            </wp:positionH>
            <wp:positionV relativeFrom="margin">
              <wp:posOffset>1579245</wp:posOffset>
            </wp:positionV>
            <wp:extent cx="2514600" cy="1885950"/>
            <wp:effectExtent l="0" t="0" r="0" b="0"/>
            <wp:wrapSquare wrapText="bothSides"/>
            <wp:docPr id="1097118948" name="Imagem 6" descr="Botox para nariz especialista - Injectors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otox para nariz especialista - Injectors Clu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10C4"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57B96F" wp14:editId="4CFA2FC4">
            <wp:extent cx="2876550" cy="2876550"/>
            <wp:effectExtent l="0" t="0" r="0" b="0"/>
            <wp:docPr id="1278948635" name="Imagem 5" descr="Músculo prócero: Origem, inserção,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úsculo prócero: Origem, inserção, ação | Kenhub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35B7">
        <w:rPr>
          <w:rFonts w:ascii="Arial" w:hAnsi="Arial" w:cs="Arial"/>
          <w:sz w:val="24"/>
          <w:szCs w:val="24"/>
        </w:rPr>
        <w:t xml:space="preserve"> </w:t>
      </w:r>
    </w:p>
    <w:p w14:paraId="15BCB869" w14:textId="0EA95CC5" w:rsidR="00B07800" w:rsidRPr="00E435B7" w:rsidRDefault="00B07800" w:rsidP="00595C4F">
      <w:pPr>
        <w:rPr>
          <w:rFonts w:ascii="Arial" w:hAnsi="Arial" w:cs="Arial"/>
          <w:color w:val="444444"/>
          <w:sz w:val="24"/>
          <w:szCs w:val="24"/>
          <w:shd w:val="clear" w:color="auto" w:fill="FFFFFF"/>
        </w:rPr>
      </w:pPr>
    </w:p>
    <w:p w14:paraId="5B75BF3B" w14:textId="30525DC4" w:rsidR="00B07800" w:rsidRPr="00E435B7" w:rsidRDefault="00B07800" w:rsidP="00595C4F">
      <w:pPr>
        <w:rPr>
          <w:rFonts w:ascii="Arial" w:hAnsi="Arial" w:cs="Arial"/>
          <w:sz w:val="24"/>
          <w:szCs w:val="24"/>
        </w:rPr>
      </w:pPr>
    </w:p>
    <w:p w14:paraId="397A17C8" w14:textId="48EF2C3C" w:rsidR="00A13578" w:rsidRPr="00E435B7" w:rsidRDefault="00E435AB" w:rsidP="00C35645">
      <w:pPr>
        <w:ind w:firstLine="708"/>
        <w:rPr>
          <w:rFonts w:ascii="Arial" w:hAnsi="Arial" w:cs="Arial"/>
          <w:color w:val="444444"/>
          <w:sz w:val="24"/>
          <w:szCs w:val="24"/>
          <w:shd w:val="clear" w:color="auto" w:fill="FFFFFF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12665062" wp14:editId="48FC233A">
            <wp:simplePos x="0" y="0"/>
            <wp:positionH relativeFrom="margin">
              <wp:posOffset>-635</wp:posOffset>
            </wp:positionH>
            <wp:positionV relativeFrom="margin">
              <wp:posOffset>6303010</wp:posOffset>
            </wp:positionV>
            <wp:extent cx="2352675" cy="3088024"/>
            <wp:effectExtent l="0" t="0" r="0" b="0"/>
            <wp:wrapSquare wrapText="bothSides"/>
            <wp:docPr id="1197129529" name="Imagem 7" descr="Músculo orbicular do olho: Origem, Inserção,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úsculo orbicular do olho: Origem, Inserção, Ação | Kenhub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08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5645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Continuando, temos o </w:t>
      </w:r>
      <w:r w:rsidR="00C35645"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músculo orbicular do olho.</w:t>
      </w:r>
      <w:r w:rsidR="00C35645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 Trata-se de um músculo que circunda toda a órbita e age como um “esfíncter orbital”. Isso porque esse músculo fecha as pálpebras. Ele possui uma porção orbital que fecha as pálpebras firmemente, por exemplo, quando há luz intensa, e então esse esfíncter estreita a rima palpebral, ou até mesmo quando há algum risco de entrada de algum objeto no olho, ocorre esse reflexo palpebral na tentativa de proteger. O músculo orbicular do olho possui também uma porção palpebral, que fecha as pálpebras delicadamente, como quando piscamos, dormimos e etc.</w:t>
      </w:r>
      <w:r w:rsidR="00606FD3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 5</w:t>
      </w:r>
    </w:p>
    <w:p w14:paraId="25E25531" w14:textId="315DF38F" w:rsidR="00C35645" w:rsidRPr="00E435B7" w:rsidRDefault="00C35645" w:rsidP="00C35645">
      <w:pPr>
        <w:ind w:firstLine="708"/>
        <w:rPr>
          <w:rFonts w:ascii="Arial" w:hAnsi="Arial" w:cs="Arial"/>
          <w:color w:val="444444"/>
          <w:sz w:val="24"/>
          <w:szCs w:val="24"/>
          <w:shd w:val="clear" w:color="auto" w:fill="FFFFFF"/>
        </w:rPr>
      </w:pPr>
    </w:p>
    <w:p w14:paraId="2FD8960D" w14:textId="371BC6A2" w:rsidR="00C35645" w:rsidRPr="00E435B7" w:rsidRDefault="00C35645" w:rsidP="00C35645">
      <w:pPr>
        <w:ind w:firstLine="708"/>
        <w:rPr>
          <w:rFonts w:ascii="Arial" w:hAnsi="Arial" w:cs="Arial"/>
          <w:sz w:val="24"/>
          <w:szCs w:val="24"/>
        </w:rPr>
      </w:pPr>
    </w:p>
    <w:p w14:paraId="4091BFBE" w14:textId="5693EAE1" w:rsidR="00A13578" w:rsidRPr="00E435B7" w:rsidRDefault="008A66B3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3A4301A2" wp14:editId="279CA2DE">
            <wp:simplePos x="0" y="0"/>
            <wp:positionH relativeFrom="margin">
              <wp:posOffset>2904490</wp:posOffset>
            </wp:positionH>
            <wp:positionV relativeFrom="margin">
              <wp:posOffset>7038975</wp:posOffset>
            </wp:positionV>
            <wp:extent cx="2428875" cy="1499196"/>
            <wp:effectExtent l="0" t="0" r="0" b="6350"/>
            <wp:wrapSquare wrapText="bothSides"/>
            <wp:docPr id="1590230993" name="Imagem 8" descr="Tratamentos de pés de galinha em Florianópolis - Dra Josy Sasaki -  Dermatologista em Florianópo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ratamentos de pés de galinha em Florianópolis - Dra Josy Sasaki -  Dermatologista em Florianópoli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49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F1B9BD" w14:textId="0768B27C" w:rsidR="00E435AB" w:rsidRPr="00E435B7" w:rsidRDefault="00E435AB" w:rsidP="00595C4F">
      <w:pPr>
        <w:rPr>
          <w:rFonts w:ascii="Arial" w:hAnsi="Arial" w:cs="Arial"/>
          <w:sz w:val="24"/>
          <w:szCs w:val="24"/>
        </w:rPr>
      </w:pPr>
    </w:p>
    <w:p w14:paraId="021F12A5" w14:textId="77777777" w:rsidR="00E435AB" w:rsidRPr="00E435B7" w:rsidRDefault="00E435AB" w:rsidP="00595C4F">
      <w:pPr>
        <w:rPr>
          <w:rFonts w:ascii="Arial" w:hAnsi="Arial" w:cs="Arial"/>
          <w:sz w:val="24"/>
          <w:szCs w:val="24"/>
        </w:rPr>
      </w:pPr>
    </w:p>
    <w:p w14:paraId="0D8A2172" w14:textId="16C313EF" w:rsidR="00E435AB" w:rsidRPr="00E435B7" w:rsidRDefault="00E435AB" w:rsidP="00595C4F">
      <w:pPr>
        <w:rPr>
          <w:rFonts w:ascii="Arial" w:hAnsi="Arial" w:cs="Arial"/>
          <w:sz w:val="24"/>
          <w:szCs w:val="24"/>
        </w:rPr>
      </w:pPr>
    </w:p>
    <w:p w14:paraId="1E392E35" w14:textId="77777777" w:rsidR="00E435AB" w:rsidRPr="00E435B7" w:rsidRDefault="00E435AB" w:rsidP="00595C4F">
      <w:pPr>
        <w:rPr>
          <w:rFonts w:ascii="Arial" w:hAnsi="Arial" w:cs="Arial"/>
          <w:sz w:val="24"/>
          <w:szCs w:val="24"/>
        </w:rPr>
      </w:pPr>
    </w:p>
    <w:p w14:paraId="45D00A1F" w14:textId="77777777" w:rsidR="00E435AB" w:rsidRPr="00E435B7" w:rsidRDefault="00E435AB" w:rsidP="00595C4F">
      <w:pPr>
        <w:rPr>
          <w:rFonts w:ascii="Arial" w:hAnsi="Arial" w:cs="Arial"/>
          <w:sz w:val="24"/>
          <w:szCs w:val="24"/>
        </w:rPr>
      </w:pPr>
    </w:p>
    <w:p w14:paraId="4E5BBBD6" w14:textId="77777777" w:rsidR="008A66B3" w:rsidRPr="00E435B7" w:rsidRDefault="008A66B3" w:rsidP="00595C4F">
      <w:pPr>
        <w:rPr>
          <w:rFonts w:ascii="Arial" w:hAnsi="Arial" w:cs="Arial"/>
          <w:sz w:val="24"/>
          <w:szCs w:val="24"/>
        </w:rPr>
      </w:pPr>
    </w:p>
    <w:p w14:paraId="691DBB4A" w14:textId="55CF2628" w:rsidR="008A66B3" w:rsidRPr="00E435B7" w:rsidRDefault="00606FD3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O</w:t>
      </w:r>
      <w:r w:rsidR="008E7DA0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 </w:t>
      </w:r>
      <w:r w:rsidR="008E7DA0"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músculo levantador do lábio superior e da asa do nariz. </w:t>
      </w:r>
      <w:r w:rsidR="008E7DA0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Sua ação é dilatar a abertura nasal anterior. Isso pode ser observado quando estamos com muita raiva ou quando fazemos um grande esforço, e a asa do nariz fica dilatada</w:t>
      </w: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. 5</w:t>
      </w:r>
    </w:p>
    <w:p w14:paraId="05FD730A" w14:textId="77777777" w:rsidR="008A66B3" w:rsidRPr="00E435B7" w:rsidRDefault="008A66B3" w:rsidP="00595C4F">
      <w:pPr>
        <w:rPr>
          <w:rFonts w:ascii="Arial" w:hAnsi="Arial" w:cs="Arial"/>
          <w:sz w:val="24"/>
          <w:szCs w:val="24"/>
        </w:rPr>
      </w:pPr>
    </w:p>
    <w:p w14:paraId="2A55AE79" w14:textId="25BD06FB" w:rsidR="008A66B3" w:rsidRPr="00E435B7" w:rsidRDefault="00D66D45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AEBD38" wp14:editId="5E7BD7BB">
            <wp:extent cx="2295525" cy="3013012"/>
            <wp:effectExtent l="0" t="0" r="0" b="0"/>
            <wp:docPr id="1881781335" name="Imagem 9" descr="Músculo levantador do lábio superior: Origem, Inser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úsculo levantador do lábio superior: Origem, Inserção | Kenhub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864" cy="302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D9B4" w14:textId="77777777" w:rsidR="008A66B3" w:rsidRPr="00E435B7" w:rsidRDefault="008A66B3" w:rsidP="00595C4F">
      <w:pPr>
        <w:rPr>
          <w:rFonts w:ascii="Arial" w:hAnsi="Arial" w:cs="Arial"/>
          <w:sz w:val="24"/>
          <w:szCs w:val="24"/>
        </w:rPr>
      </w:pPr>
    </w:p>
    <w:p w14:paraId="1106F699" w14:textId="699144FC" w:rsidR="008A66B3" w:rsidRPr="00E435B7" w:rsidRDefault="001716E1" w:rsidP="00595C4F">
      <w:pPr>
        <w:rPr>
          <w:rFonts w:ascii="Arial" w:hAnsi="Arial" w:cs="Arial"/>
          <w:color w:val="444444"/>
          <w:sz w:val="24"/>
          <w:szCs w:val="24"/>
          <w:shd w:val="clear" w:color="auto" w:fill="FFFFFF"/>
        </w:rPr>
      </w:pP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o </w:t>
      </w:r>
      <w:r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músculo orbicular da boca, </w:t>
      </w: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que é o esfíncter oral</w:t>
      </w:r>
      <w:r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. </w:t>
      </w: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Ele circunda toda a boca, e sua contração fecha a rima da boca. É um músculo muito utilizado no ato de beijar, pois ele se comprime e protrai os lábios. Quando você vai soprar ou fazer bico esse músculo também é utilizado.</w:t>
      </w:r>
      <w:r w:rsidR="00974074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 5</w:t>
      </w:r>
    </w:p>
    <w:p w14:paraId="000A6045" w14:textId="0A41814F" w:rsidR="001716E1" w:rsidRPr="00E435B7" w:rsidRDefault="00D14F17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C3719B" wp14:editId="1E4D771E">
            <wp:extent cx="2316480" cy="2316480"/>
            <wp:effectExtent l="0" t="0" r="7620" b="7620"/>
            <wp:docPr id="2059934907" name="Imagem 10" descr="Músculo orbicular da boca: Origem, Inserção,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úsculo orbicular da boca: Origem, Inserção, Ação | Kenhub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4074" w:rsidRPr="00E435B7">
        <w:rPr>
          <w:rFonts w:ascii="Arial" w:hAnsi="Arial" w:cs="Arial"/>
          <w:sz w:val="24"/>
          <w:szCs w:val="24"/>
        </w:rPr>
        <w:t xml:space="preserve"> </w:t>
      </w:r>
      <w:r w:rsidR="00974074"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5320C9" wp14:editId="56AF8C0D">
            <wp:extent cx="2961640" cy="2221230"/>
            <wp:effectExtent l="0" t="0" r="0" b="7620"/>
            <wp:docPr id="1406420146" name="Imagem 11" descr="AF Cirurgia Plástica - Rugas / Toxinas Botulí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F Cirurgia Plástica - Rugas / Toxinas Botulínic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8DE4" w14:textId="77777777" w:rsidR="00A03180" w:rsidRPr="00E435B7" w:rsidRDefault="00A03180" w:rsidP="00595C4F">
      <w:pPr>
        <w:rPr>
          <w:rFonts w:ascii="Arial" w:hAnsi="Arial" w:cs="Arial"/>
          <w:sz w:val="24"/>
          <w:szCs w:val="24"/>
        </w:rPr>
      </w:pPr>
    </w:p>
    <w:p w14:paraId="137BE5D1" w14:textId="77777777" w:rsidR="00E435B7" w:rsidRDefault="00E435B7" w:rsidP="00595C4F">
      <w:pPr>
        <w:rPr>
          <w:rStyle w:val="A5"/>
          <w:rFonts w:ascii="Arial" w:hAnsi="Arial" w:cs="Arial"/>
          <w:sz w:val="24"/>
          <w:szCs w:val="24"/>
        </w:rPr>
      </w:pPr>
    </w:p>
    <w:p w14:paraId="60E95177" w14:textId="19C41C3C" w:rsidR="00974074" w:rsidRPr="00E435B7" w:rsidRDefault="00C217F0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lastRenderedPageBreak/>
        <w:t>Um músculo que também compõe esse grupo de músculos da mímica facial é o </w:t>
      </w:r>
      <w:r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músculo abaixador do ângulo da boca. </w:t>
      </w: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Fica situado abaixo do ângulo da boca e, ao se contrair, realiza a sua ação de abaixar a comissura labial, expressando tristeza.</w:t>
      </w:r>
    </w:p>
    <w:p w14:paraId="46357485" w14:textId="41BB5D44" w:rsidR="00C217F0" w:rsidRPr="00E435B7" w:rsidRDefault="00D050F1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7E71EF" wp14:editId="29ED7B4E">
            <wp:extent cx="1966860" cy="2582545"/>
            <wp:effectExtent l="0" t="0" r="0" b="8255"/>
            <wp:docPr id="388424540" name="Imagem 12" descr="Depressor do ângulo da boca: Origem, inserção e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epressor do ângulo da boca: Origem, inserção e ação | Kenhub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374" cy="259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17D9" w:rsidRPr="00E435B7">
        <w:rPr>
          <w:rFonts w:ascii="Arial" w:hAnsi="Arial" w:cs="Arial"/>
          <w:sz w:val="24"/>
          <w:szCs w:val="24"/>
        </w:rPr>
        <w:t xml:space="preserve"> </w:t>
      </w:r>
      <w:r w:rsidR="006517D9"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2B0199" wp14:editId="03BE9734">
            <wp:extent cx="2141220" cy="2141220"/>
            <wp:effectExtent l="0" t="0" r="0" b="0"/>
            <wp:docPr id="124108520" name="Imagem 13" descr="Atelie Facial Odontologia - Com o passar dos anos o canto da boca vai  caindo, pois temos um músculo que se chama depressor do ângulo da boca que  puxa o cantinho 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telie Facial Odontologia - Com o passar dos anos o canto da boca vai  caindo, pois temos um músculo que se chama depressor do ângulo da boca que  puxa o cantinho d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F482" w14:textId="77777777" w:rsidR="009638B9" w:rsidRPr="00E435B7" w:rsidRDefault="009638B9" w:rsidP="00595C4F">
      <w:pPr>
        <w:rPr>
          <w:rFonts w:ascii="Arial" w:hAnsi="Arial" w:cs="Arial"/>
          <w:sz w:val="24"/>
          <w:szCs w:val="24"/>
        </w:rPr>
      </w:pPr>
    </w:p>
    <w:p w14:paraId="0F2D4AFA" w14:textId="77777777" w:rsidR="009638B9" w:rsidRPr="00E435B7" w:rsidRDefault="009638B9" w:rsidP="00595C4F">
      <w:pPr>
        <w:rPr>
          <w:rFonts w:ascii="Arial" w:hAnsi="Arial" w:cs="Arial"/>
          <w:sz w:val="24"/>
          <w:szCs w:val="24"/>
        </w:rPr>
      </w:pPr>
    </w:p>
    <w:p w14:paraId="3FA827B6" w14:textId="0D7B3D7D" w:rsidR="009638B9" w:rsidRPr="00E435B7" w:rsidRDefault="009638B9" w:rsidP="00595C4F">
      <w:pPr>
        <w:rPr>
          <w:rFonts w:ascii="Arial" w:hAnsi="Arial" w:cs="Arial"/>
          <w:color w:val="444444"/>
          <w:sz w:val="24"/>
          <w:szCs w:val="24"/>
          <w:shd w:val="clear" w:color="auto" w:fill="FFFFFF"/>
        </w:rPr>
      </w:pPr>
      <w:r w:rsidRPr="00E435B7">
        <w:rPr>
          <w:rFonts w:ascii="Arial" w:hAnsi="Arial" w:cs="Arial"/>
          <w:sz w:val="24"/>
          <w:szCs w:val="24"/>
        </w:rPr>
        <w:t>O</w:t>
      </w: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 </w:t>
      </w:r>
      <w:r w:rsidRPr="00E435B7">
        <w:rPr>
          <w:rStyle w:val="Forte"/>
          <w:rFonts w:ascii="Arial" w:hAnsi="Arial" w:cs="Arial"/>
          <w:color w:val="444444"/>
          <w:sz w:val="24"/>
          <w:szCs w:val="24"/>
          <w:bdr w:val="none" w:sz="0" w:space="0" w:color="auto" w:frame="1"/>
          <w:shd w:val="clear" w:color="auto" w:fill="FFFFFF"/>
        </w:rPr>
        <w:t>músculo platisma, </w:t>
      </w:r>
      <w:r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que se inicia na face e recobre a região anterior do pescoço. A ação desse músculo é abaixar a mandíbula contra resistência e realiza também o tensionamento da pele do pescoço</w:t>
      </w:r>
      <w:r w:rsidR="00175716" w:rsidRPr="00E435B7">
        <w:rPr>
          <w:rFonts w:ascii="Arial" w:hAnsi="Arial" w:cs="Arial"/>
          <w:color w:val="444444"/>
          <w:sz w:val="24"/>
          <w:szCs w:val="24"/>
          <w:shd w:val="clear" w:color="auto" w:fill="FFFFFF"/>
        </w:rPr>
        <w:t>.5</w:t>
      </w:r>
    </w:p>
    <w:p w14:paraId="30C14372" w14:textId="64385CB6" w:rsidR="00C217F0" w:rsidRPr="00E435B7" w:rsidRDefault="00A463DA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C77EBF" wp14:editId="6C17589E">
            <wp:extent cx="2887980" cy="2417291"/>
            <wp:effectExtent l="0" t="0" r="7620" b="2540"/>
            <wp:docPr id="541728892" name="Imagem 14" descr="Músculo platisma: Inserciones, inervación, función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úsculo platisma: Inserciones, inervación, función | Kenhub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43" cy="242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3F9D" w14:textId="503BDAA1" w:rsidR="00C217F0" w:rsidRPr="00E435B7" w:rsidRDefault="00C217F0" w:rsidP="00595C4F">
      <w:pPr>
        <w:rPr>
          <w:rFonts w:ascii="Arial" w:hAnsi="Arial" w:cs="Arial"/>
          <w:sz w:val="24"/>
          <w:szCs w:val="24"/>
        </w:rPr>
      </w:pPr>
    </w:p>
    <w:p w14:paraId="2A8C1B2A" w14:textId="6175F47C" w:rsidR="008B7FB9" w:rsidRPr="00E435B7" w:rsidRDefault="0039216B" w:rsidP="0039216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435B7">
        <w:rPr>
          <w:rFonts w:ascii="Arial" w:hAnsi="Arial" w:cs="Arial"/>
          <w:b/>
          <w:bCs/>
          <w:sz w:val="24"/>
          <w:szCs w:val="24"/>
        </w:rPr>
        <w:t>LINHAS DE EXPRESSÃO.</w:t>
      </w:r>
    </w:p>
    <w:p w14:paraId="43766BA5" w14:textId="759C7CA0" w:rsidR="008B7FB9" w:rsidRPr="00E435B7" w:rsidRDefault="008B7FB9" w:rsidP="0039216B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A ruga é o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sinal de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envelhecimento que atua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na redução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da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espessura da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pele, por meio da perda de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>colágeno;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>proteína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>importante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>no tecido conjuntivo, tornando-o mais rígido pouco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e a elastina outro componente do mesmo tecido,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que após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perder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sua elasticidade natural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devido a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diminuição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do número de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fibras elásticas.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Tais diminuições nas funções do tecido conjuntivo alteram a pele 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lastRenderedPageBreak/>
        <w:t xml:space="preserve">fazendo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com que ela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não consiga se manter uniforme, devido a tais fatores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ocorre também uma diminuição da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velocidade de troca de</w:t>
      </w:r>
      <w:r w:rsidR="000C7B10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9216B" w:rsidRPr="00E435B7">
        <w:rPr>
          <w:rFonts w:ascii="Arial" w:hAnsi="Arial" w:cs="Arial"/>
          <w:sz w:val="24"/>
          <w:szCs w:val="24"/>
          <w:shd w:val="clear" w:color="auto" w:fill="FFFFFF"/>
        </w:rPr>
        <w:t>oxigenação dos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tecidos provoca a desidratação da pele tendo como resultado as rugas</w:t>
      </w:r>
      <w:r w:rsidR="00AF7918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="00AF7918" w:rsidRPr="00E435B7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3</w:t>
      </w:r>
    </w:p>
    <w:p w14:paraId="7247DF95" w14:textId="78294469" w:rsidR="00452450" w:rsidRPr="00E435B7" w:rsidRDefault="00452450" w:rsidP="008A43C5">
      <w:pPr>
        <w:ind w:firstLine="708"/>
        <w:jc w:val="both"/>
        <w:rPr>
          <w:rFonts w:ascii="Arial" w:hAnsi="Arial" w:cs="Arial"/>
          <w:sz w:val="24"/>
          <w:szCs w:val="24"/>
          <w:vertAlign w:val="superscript"/>
        </w:rPr>
      </w:pP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Existem   rugas   que   são   congênitas, já   </w:t>
      </w:r>
      <w:r w:rsidR="00E050D7" w:rsidRPr="00E435B7">
        <w:rPr>
          <w:rFonts w:ascii="Arial" w:hAnsi="Arial" w:cs="Arial"/>
          <w:sz w:val="24"/>
          <w:szCs w:val="24"/>
          <w:shd w:val="clear" w:color="auto" w:fill="FFFFFF"/>
        </w:rPr>
        <w:t>outras, que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  são   encontradas principalmente no rosto, são adquiridas, por uma vida toda de atividade muscular ligadas a certas expressões faciais</w:t>
      </w:r>
      <w:r w:rsidR="00EF3279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. Sendo classificadas </w:t>
      </w:r>
      <w:r w:rsidR="008A43C5" w:rsidRPr="00E435B7">
        <w:rPr>
          <w:rFonts w:ascii="Arial" w:hAnsi="Arial" w:cs="Arial"/>
          <w:sz w:val="24"/>
          <w:szCs w:val="24"/>
          <w:shd w:val="clear" w:color="auto" w:fill="FFFFFF"/>
        </w:rPr>
        <w:t>em profundas</w:t>
      </w:r>
      <w:r w:rsidR="00EF3279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; </w:t>
      </w:r>
      <w:r w:rsidR="00E050D7" w:rsidRPr="00E435B7">
        <w:rPr>
          <w:rFonts w:ascii="Arial" w:hAnsi="Arial" w:cs="Arial"/>
          <w:sz w:val="24"/>
          <w:szCs w:val="24"/>
          <w:shd w:val="clear" w:color="auto" w:fill="FFFFFF"/>
        </w:rPr>
        <w:t>aquelas que</w:t>
      </w:r>
      <w:r w:rsidR="00EF3279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E050D7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não </w:t>
      </w:r>
      <w:r w:rsidR="008A43C5" w:rsidRPr="00E435B7">
        <w:rPr>
          <w:rFonts w:ascii="Arial" w:hAnsi="Arial" w:cs="Arial"/>
          <w:sz w:val="24"/>
          <w:szCs w:val="24"/>
          <w:shd w:val="clear" w:color="auto" w:fill="FFFFFF"/>
        </w:rPr>
        <w:t>sofrem alteração</w:t>
      </w:r>
      <w:r w:rsidR="00EF3279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quando a pele é esticada, sendo decorrentes da exposição ao sol. Superficiais: devido a diminuição ou perda de fibras elásticas, que se alteram quando a pele é </w:t>
      </w:r>
      <w:r w:rsidR="00E050D7" w:rsidRPr="00E435B7">
        <w:rPr>
          <w:rFonts w:ascii="Arial" w:hAnsi="Arial" w:cs="Arial"/>
          <w:sz w:val="24"/>
          <w:szCs w:val="24"/>
          <w:shd w:val="clear" w:color="auto" w:fill="FFFFFF"/>
        </w:rPr>
        <w:t>esticad</w:t>
      </w:r>
      <w:r w:rsidR="00792B79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a. </w:t>
      </w:r>
      <w:r w:rsidR="00792B79" w:rsidRPr="00E435B7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4</w:t>
      </w:r>
    </w:p>
    <w:p w14:paraId="0B5DE30B" w14:textId="233095B6" w:rsidR="00D30398" w:rsidRPr="00E435B7" w:rsidRDefault="008A43C5" w:rsidP="008A43C5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E435B7">
        <w:rPr>
          <w:rFonts w:ascii="Arial" w:hAnsi="Arial" w:cs="Arial"/>
          <w:sz w:val="24"/>
          <w:szCs w:val="24"/>
          <w:shd w:val="clear" w:color="auto" w:fill="FFFFFF"/>
        </w:rPr>
        <w:t>Outra classificação das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rugas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seria, dinâmicas: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>aquelas que surge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>com o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>movimento repetitivo dos músculos de expressão facial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>.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Gravitacionais: surge igual às 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>demais, decorrentes da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flacidez, gerando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ptose da estrutura da face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>.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>Palpebrais: classificadas em três graus, sendo as de primeiro grau localizadas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>próximas ao ângulo lateral do olho e nas pálpebras superiores. As de segundo grau são mais frequentes e surgem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>na terceira e quarta década de vida. As de terceiro grau aquelas em excesso no tecido, geralmente acometendo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E14715" w:rsidRPr="00E435B7">
        <w:rPr>
          <w:rFonts w:ascii="Arial" w:hAnsi="Arial" w:cs="Arial"/>
          <w:sz w:val="24"/>
          <w:szCs w:val="24"/>
          <w:shd w:val="clear" w:color="auto" w:fill="FFFFFF"/>
        </w:rPr>
        <w:t>pessoas da quinta década de vida em diante</w:t>
      </w: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Pr="00E435B7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4</w:t>
      </w:r>
    </w:p>
    <w:p w14:paraId="29453FE5" w14:textId="44743C2B" w:rsidR="00E14715" w:rsidRPr="00E435B7" w:rsidRDefault="008A43C5" w:rsidP="008A43C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As rugas estáticas que surge na ausência de movimento, podendo ser compreendido como fadigas das estruturas que compõem a pele, decorrente da repetição de movimentos. Sendo aquelas rugas permanentes, com marcas definitivas e podendo ser vistas quando a face está em repouso. </w:t>
      </w:r>
      <w:r w:rsidRPr="00E435B7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4</w:t>
      </w:r>
    </w:p>
    <w:p w14:paraId="0E037F0E" w14:textId="77777777" w:rsidR="00C46892" w:rsidRPr="00E435B7" w:rsidRDefault="00C46892" w:rsidP="00595C4F">
      <w:pPr>
        <w:rPr>
          <w:rFonts w:ascii="Arial" w:hAnsi="Arial" w:cs="Arial"/>
          <w:sz w:val="24"/>
          <w:szCs w:val="24"/>
        </w:rPr>
      </w:pPr>
    </w:p>
    <w:p w14:paraId="78017C58" w14:textId="435015B1" w:rsidR="00C46892" w:rsidRPr="00E435B7" w:rsidRDefault="00E97CE2" w:rsidP="00E435B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435B7">
        <w:rPr>
          <w:rFonts w:ascii="Arial" w:hAnsi="Arial" w:cs="Arial"/>
          <w:b/>
          <w:bCs/>
          <w:sz w:val="24"/>
          <w:szCs w:val="24"/>
        </w:rPr>
        <w:t>O QUE É TOXINA BOTULÍNICA?</w:t>
      </w:r>
    </w:p>
    <w:p w14:paraId="4A132A17" w14:textId="2B8B11A9" w:rsidR="00A87DB4" w:rsidRPr="00E435B7" w:rsidRDefault="00FD741A" w:rsidP="00E97CE2">
      <w:pPr>
        <w:ind w:firstLine="708"/>
        <w:rPr>
          <w:rFonts w:ascii="Arial" w:hAnsi="Arial" w:cs="Arial"/>
          <w:sz w:val="24"/>
          <w:szCs w:val="24"/>
          <w:shd w:val="clear" w:color="auto" w:fill="FFFFFF"/>
        </w:rPr>
      </w:pPr>
      <w:r w:rsidRPr="00E435B7">
        <w:rPr>
          <w:rFonts w:ascii="Arial" w:hAnsi="Arial" w:cs="Arial"/>
          <w:sz w:val="24"/>
          <w:szCs w:val="24"/>
          <w:shd w:val="clear" w:color="auto" w:fill="FFFFFF"/>
        </w:rPr>
        <w:t>A TB é uma neurotoxina produzida pela bactéria Clostridium botulinum  (bactéria  Gram-positiva  da  família  Bacillaceae,  an-aeróbica) causadora de uma grave doença, nomeada botulismo, a mesma causa a paralisia dos músculos da face, dos membros e respiratórios, podendo levar ao óbito.</w:t>
      </w:r>
      <w:r w:rsidR="00A87DB4" w:rsidRPr="00E435B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A87DB4" w:rsidRPr="00E435B7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6</w:t>
      </w:r>
    </w:p>
    <w:p w14:paraId="2B2B4438" w14:textId="1EFF488A" w:rsidR="00C46892" w:rsidRPr="00E435B7" w:rsidRDefault="00C22D81" w:rsidP="00E97CE2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  <w:vertAlign w:val="superscript"/>
        </w:rPr>
      </w:pPr>
      <w:r w:rsidRPr="00E435B7">
        <w:rPr>
          <w:rFonts w:ascii="Arial" w:hAnsi="Arial" w:cs="Arial"/>
          <w:sz w:val="24"/>
          <w:szCs w:val="24"/>
          <w:shd w:val="clear" w:color="auto" w:fill="FFFFFF"/>
        </w:rPr>
        <w:t>A  Toxina botulinica  pode  ser  diferenciada  em  oito  sorotipos  nomeados  como A, B, Cb, C2, D, E, F e G. Comercialmente, estão disponíveis as toxinas tipo A e tipo B. Em estética facial, a TBA é a mais uti-lizada desde que foi aprovada pelo Food and Drug Administra-tion (FDA), em 2002</w:t>
      </w:r>
      <w:r w:rsidR="006214F6" w:rsidRPr="00E435B7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.7</w:t>
      </w:r>
    </w:p>
    <w:p w14:paraId="564058F8" w14:textId="0219CC3D" w:rsidR="007C72CF" w:rsidRPr="00E435B7" w:rsidRDefault="007C72CF" w:rsidP="00E97CE2">
      <w:pPr>
        <w:ind w:firstLine="708"/>
        <w:jc w:val="both"/>
        <w:rPr>
          <w:rFonts w:ascii="Arial" w:hAnsi="Arial" w:cs="Arial"/>
          <w:sz w:val="24"/>
          <w:szCs w:val="24"/>
          <w:vertAlign w:val="superscript"/>
        </w:rPr>
      </w:pPr>
      <w:r w:rsidRPr="00E435B7">
        <w:rPr>
          <w:rFonts w:ascii="Arial" w:hAnsi="Arial" w:cs="Arial"/>
          <w:sz w:val="24"/>
          <w:szCs w:val="24"/>
        </w:rPr>
        <w:t xml:space="preserve">As neurotoxinas do Clostridium Botulinum são sintetizadas como uma cadeia polipeptídica simples e única de 150 kDa, que é composta por 3 porções de 50kD, a porção L, Hc, e Hn, de acordo com a figura 1. Estas porções da cadeia molecular tem funções distintas no processo de intoxicação celular e no bloqueio funcional. A cadeia Hc é responsável pela ligação com o neurônio motor. Já a cadeia Hn é responsável pela internalização e translocação da membrana da célula nervosa. Quando quebrada por proteases origina a forma ativa, formando assim duas novas cadeias: uma pesada e uma cadeia leve. A cadeia pesada (H) é dividida em duas porções, Hc e Hn que juntas somam 100 KDa, sendo responsável pela ligação aos receptores extracelulares e internalização na célula nervosa. A cadeia leve (L) é a forma ativa da toxina, porção catalítica e </w:t>
      </w:r>
      <w:r w:rsidRPr="00E435B7">
        <w:rPr>
          <w:rFonts w:ascii="Arial" w:hAnsi="Arial" w:cs="Arial"/>
          <w:sz w:val="24"/>
          <w:szCs w:val="24"/>
        </w:rPr>
        <w:lastRenderedPageBreak/>
        <w:t xml:space="preserve">inibe a exocitose de sinaptossomos contendo acetilcolina. Ela pesa 50 kDa e é responsável pela atividade metaloproteásica zinco dependente que impede a liberação dos neurotransmissores, através do bloqueio das vesículas de fusão pré-sinápticas. </w:t>
      </w:r>
      <w:r w:rsidR="00A81F1A" w:rsidRPr="00E435B7">
        <w:rPr>
          <w:rFonts w:ascii="Arial" w:hAnsi="Arial" w:cs="Arial"/>
          <w:sz w:val="24"/>
          <w:szCs w:val="24"/>
          <w:vertAlign w:val="superscript"/>
        </w:rPr>
        <w:t>8</w:t>
      </w:r>
    </w:p>
    <w:p w14:paraId="17039892" w14:textId="77777777" w:rsidR="00A81F1A" w:rsidRPr="00E435B7" w:rsidRDefault="00A81F1A" w:rsidP="00C22D81">
      <w:pPr>
        <w:ind w:firstLine="708"/>
        <w:rPr>
          <w:rFonts w:ascii="Arial" w:hAnsi="Arial" w:cs="Arial"/>
          <w:sz w:val="24"/>
          <w:szCs w:val="24"/>
          <w:vertAlign w:val="superscript"/>
        </w:rPr>
      </w:pPr>
    </w:p>
    <w:p w14:paraId="3CB512F7" w14:textId="756BE382" w:rsidR="00A81F1A" w:rsidRPr="00E435B7" w:rsidRDefault="00A0667D" w:rsidP="60ECEA3E">
      <w:pPr>
        <w:rPr>
          <w:rFonts w:ascii="Arial" w:hAnsi="Arial" w:cs="Arial"/>
          <w:sz w:val="24"/>
          <w:szCs w:val="24"/>
          <w:shd w:val="clear" w:color="auto" w:fill="FFFFFF"/>
          <w:vertAlign w:val="superscript"/>
        </w:rPr>
      </w:pPr>
      <w:r w:rsidRPr="00E435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03F820" wp14:editId="12B83759">
            <wp:extent cx="5400040" cy="2082589"/>
            <wp:effectExtent l="0" t="0" r="0" b="0"/>
            <wp:docPr id="829569494" name="Imagem 1" descr="Uma imagem contendo cola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69494" name="Imagem 1" descr="Uma imagem contendo colar&#10;&#10;Descrição gerada automaticamente"/>
                    <pic:cNvPicPr/>
                  </pic:nvPicPr>
                  <pic:blipFill rotWithShape="1">
                    <a:blip r:embed="rId23"/>
                    <a:srcRect t="2767"/>
                    <a:stretch/>
                  </pic:blipFill>
                  <pic:spPr bwMode="auto">
                    <a:xfrm>
                      <a:off x="0" y="0"/>
                      <a:ext cx="5400040" cy="208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AE2FF" w14:textId="77777777" w:rsidR="00106B44" w:rsidRPr="00E435B7" w:rsidRDefault="00106B44" w:rsidP="00595C4F">
      <w:pPr>
        <w:rPr>
          <w:rFonts w:ascii="Arial" w:hAnsi="Arial" w:cs="Arial"/>
          <w:sz w:val="24"/>
          <w:szCs w:val="24"/>
        </w:rPr>
      </w:pPr>
    </w:p>
    <w:p w14:paraId="475293E0" w14:textId="79EB3683" w:rsidR="006211E7" w:rsidRPr="00E435B7" w:rsidRDefault="00106B44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Bioquimicamente, como descrita por SPOSITO (2009) e BRATZ et al. (2017), é possível defini-la, do ponto de vista estrutural, como uma cadeia polipeptídica simples de 150 kDa composta por três porções, denominadas de BONTOXILYSIN, com massa de 50 kDa cada. As duas cadeias pesadas (Hc e Hn) juntas somam 100 kDa, contêm dois domínios, o de ligação e o de translocação, e são responsáveis pela adesão aos receptores extracelulares (Hc) e internalização (Hn) da toxina botulínica na célula nervosa, além de ajudar a translocação da cadeia leve para o citoplasma do neurônio. Já a cadeia leve (L) é longa, pode variar entre 422 e 447 segmentos peptídicos, contém o domínio enzimático, possui massa de 50 kDa, é responsável pela atividade metaloproteásica zinco dependente que impede a liberação dos neurotransmissores, através do bloqueio das vesículas de fusão pré-sinápticas e como resultado, desenvolve diferentes papéis no processo de intoxicação celular e consequente bloqueio funcional.</w:t>
      </w:r>
    </w:p>
    <w:p w14:paraId="0466A02E" w14:textId="54D55EC2" w:rsidR="006211E7" w:rsidRPr="00E435B7" w:rsidRDefault="006211E7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A parte ativa da molécula da neurotoxina do Clostridium botulinum é formada for uma única cadeia polipeptídica composta por 1295 aminoácidos. Figura 1: Representação tridimensional da Toxina Botulínica Tipo A</w:t>
      </w:r>
    </w:p>
    <w:p w14:paraId="76C513F1" w14:textId="77777777" w:rsidR="006211E7" w:rsidRPr="00E435B7" w:rsidRDefault="006211E7" w:rsidP="00595C4F">
      <w:pPr>
        <w:rPr>
          <w:rFonts w:ascii="Arial" w:hAnsi="Arial" w:cs="Arial"/>
          <w:sz w:val="24"/>
          <w:szCs w:val="24"/>
        </w:rPr>
      </w:pPr>
    </w:p>
    <w:p w14:paraId="3445C419" w14:textId="6A4317B5" w:rsidR="006211E7" w:rsidRPr="00E435B7" w:rsidRDefault="00EA43C0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AF16BAC" wp14:editId="164ECC5C">
            <wp:extent cx="5400040" cy="4112895"/>
            <wp:effectExtent l="0" t="0" r="0" b="1905"/>
            <wp:docPr id="169924305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305" name="Imagem 1" descr="Diagram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EDFE" w14:textId="77777777" w:rsidR="00E435B7" w:rsidRDefault="00E435B7" w:rsidP="00595C4F">
      <w:pPr>
        <w:rPr>
          <w:rFonts w:ascii="Arial" w:hAnsi="Arial" w:cs="Arial"/>
          <w:sz w:val="24"/>
          <w:szCs w:val="24"/>
        </w:rPr>
      </w:pPr>
    </w:p>
    <w:p w14:paraId="1377C4F6" w14:textId="582F7239" w:rsidR="009A5683" w:rsidRPr="00E435B7" w:rsidRDefault="00E435B7" w:rsidP="00595C4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4.1 </w:t>
      </w:r>
      <w:r w:rsidR="004C4DC8" w:rsidRPr="00E435B7">
        <w:rPr>
          <w:rFonts w:ascii="Arial" w:hAnsi="Arial" w:cs="Arial"/>
          <w:b/>
          <w:bCs/>
          <w:sz w:val="24"/>
          <w:szCs w:val="24"/>
        </w:rPr>
        <w:t xml:space="preserve">MECANISMO DE AÇÃO </w:t>
      </w:r>
    </w:p>
    <w:p w14:paraId="496216C0" w14:textId="1D479B95" w:rsidR="004C4DC8" w:rsidRPr="00E435B7" w:rsidRDefault="00BC00EB" w:rsidP="00386A2F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Injetada por via intramuscular, a TBA liga-se aos receptores terminais encontrados nos nervos motores, bloqueando a liberação de acetilcolina no terminal pré-sináptico através da desativação das proteínas de fusão, impedindo que a acetilcolina seja lançada na fenda sináptica, e assim não permitindo a despolarização do terminal pós-sináptico, bloqueando a contração da musculatura por denervação química temporária e inibição competitiva de forma dose-dependente</w:t>
      </w:r>
      <w:r w:rsidR="009E18EE" w:rsidRPr="00E435B7">
        <w:rPr>
          <w:rFonts w:ascii="Arial" w:hAnsi="Arial" w:cs="Arial"/>
          <w:sz w:val="24"/>
          <w:szCs w:val="24"/>
        </w:rPr>
        <w:t xml:space="preserve">. </w:t>
      </w:r>
      <w:r w:rsidR="009E18EE" w:rsidRPr="00E435B7">
        <w:rPr>
          <w:rFonts w:ascii="Arial" w:hAnsi="Arial" w:cs="Arial"/>
          <w:sz w:val="24"/>
          <w:szCs w:val="24"/>
          <w:vertAlign w:val="superscript"/>
        </w:rPr>
        <w:t>10</w:t>
      </w:r>
    </w:p>
    <w:p w14:paraId="29F10596" w14:textId="567873DD" w:rsidR="009E18EE" w:rsidRPr="00E435B7" w:rsidRDefault="00386A2F" w:rsidP="00386A2F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A contração muscular acontece graças a ação que os nervos motores fazem sobre os músculos pelas junções mioneurais. Em uma contração muscular, o impulso nervoso consegue despolarizar o axônio terminal dos nervos motores iniciando um processo que termina com a liberação de acetilcolina do interior do citosol do neurônio à fenda sináptica, acontecendo a despolarização do sarcolema da fibra muscular pela abertura dos canais do íon cálcio, gerando a contração muscular</w:t>
      </w:r>
      <w:r w:rsidR="009C1F89" w:rsidRPr="00E435B7">
        <w:rPr>
          <w:rFonts w:ascii="Arial" w:hAnsi="Arial" w:cs="Arial"/>
          <w:sz w:val="24"/>
          <w:szCs w:val="24"/>
        </w:rPr>
        <w:t>.</w:t>
      </w:r>
      <w:r w:rsidR="003F3904" w:rsidRPr="00E435B7">
        <w:rPr>
          <w:rFonts w:ascii="Arial" w:hAnsi="Arial" w:cs="Arial"/>
          <w:sz w:val="24"/>
          <w:szCs w:val="24"/>
        </w:rPr>
        <w:t xml:space="preserve"> 11</w:t>
      </w:r>
    </w:p>
    <w:p w14:paraId="4F66B152" w14:textId="141E8D07" w:rsidR="00623F78" w:rsidRPr="00E435B7" w:rsidRDefault="00386A2F" w:rsidP="008D685B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 A liberação da acetilcolina na fenda sináptica acontece por um conjunto de proteínas transportadoras chamadas complexo SNARE (soluble nethylmaleimidesensitive factor attachtment protein receptor), que permite a fusão das vesículas que carregam acetilcolina com a membrana plasmática do neurônio eferente, possibilitando a exocitose deste neurotransmissor na fenda sináptica</w:t>
      </w:r>
      <w:r w:rsidR="009C1F89" w:rsidRPr="00E435B7">
        <w:rPr>
          <w:rFonts w:ascii="Arial" w:hAnsi="Arial" w:cs="Arial"/>
          <w:sz w:val="24"/>
          <w:szCs w:val="24"/>
        </w:rPr>
        <w:t xml:space="preserve">. </w:t>
      </w:r>
      <w:r w:rsidRPr="00E435B7">
        <w:rPr>
          <w:rFonts w:ascii="Arial" w:hAnsi="Arial" w:cs="Arial"/>
          <w:sz w:val="24"/>
          <w:szCs w:val="24"/>
        </w:rPr>
        <w:t xml:space="preserve">O complexo SNARE é feito de proteínas responsáveis pela </w:t>
      </w:r>
      <w:r w:rsidRPr="00E435B7">
        <w:rPr>
          <w:rFonts w:ascii="Arial" w:hAnsi="Arial" w:cs="Arial"/>
          <w:sz w:val="24"/>
          <w:szCs w:val="24"/>
        </w:rPr>
        <w:lastRenderedPageBreak/>
        <w:t xml:space="preserve">movimentação vesicular e do processo de fusão vesicular. É divido em dois tipos: os SNAREs, associados a vesículas (v-SNAREs), e os SNAREs-alvos (t-SNAREs), associados à membrana do neurotransmissor. </w:t>
      </w:r>
      <w:r w:rsidR="008D685B" w:rsidRPr="00E435B7">
        <w:rPr>
          <w:rFonts w:ascii="Arial" w:hAnsi="Arial" w:cs="Arial"/>
          <w:sz w:val="24"/>
          <w:szCs w:val="24"/>
        </w:rPr>
        <w:t>11</w:t>
      </w:r>
    </w:p>
    <w:p w14:paraId="19480CE8" w14:textId="06D2E44B" w:rsidR="00BA23EF" w:rsidRPr="00E435B7" w:rsidRDefault="00386A2F" w:rsidP="00386A2F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O v-SNARE é conhecido como sinaptobrevina ou VAMP (vesicleassociatedmembrane protein), e está localizado na membrana das vesículas sinápticas. Os t-SNAREs estão ligados à membrana plasmática e são constituídos por duas proteínas: a sintaxina e a SNAP-25 (synaptosomal protein, com peso molecular de 25 kDa). Para que o processo de exocitose da acetilcolina seja executado, as três proteínas SNARE precisam se conectar simultaneamente.</w:t>
      </w:r>
      <w:r w:rsidR="008D685B" w:rsidRPr="00E435B7">
        <w:rPr>
          <w:rFonts w:ascii="Arial" w:hAnsi="Arial" w:cs="Arial"/>
          <w:sz w:val="24"/>
          <w:szCs w:val="24"/>
        </w:rPr>
        <w:t>11</w:t>
      </w:r>
    </w:p>
    <w:p w14:paraId="0590CA60" w14:textId="76435ECD" w:rsidR="00BA23EF" w:rsidRPr="00E435B7" w:rsidRDefault="00386A2F" w:rsidP="00386A2F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 Após sua injeção via intramuscular, a toxina botulínica atinge os terminais nervosos mediante dispersão e difusão, e três etapas podem ser consideradas durante o seu mecanismo de ação, a ligação à célula-alvo e internalização, a translocação e a inibição da liberação de neurotransmissores. </w:t>
      </w:r>
      <w:r w:rsidR="00D61CCD" w:rsidRPr="00E435B7">
        <w:rPr>
          <w:rFonts w:ascii="Arial" w:hAnsi="Arial" w:cs="Arial"/>
          <w:sz w:val="24"/>
          <w:szCs w:val="24"/>
        </w:rPr>
        <w:t>12</w:t>
      </w:r>
    </w:p>
    <w:p w14:paraId="1C56EA18" w14:textId="77777777" w:rsidR="00D61CCD" w:rsidRPr="00E435B7" w:rsidRDefault="00386A2F" w:rsidP="00506D54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Na primeira etapa, a cadeia pesada (H) é ligada de forma irreversível aos receptores colinérgicos pré-sinápticos – elementos específicos para neurotoxinas variadas. Essa ligação acontece graças à alta afinidade da cadeia pesada pelos receptores colinérgicos da membrana celular do neurônio eferente alvo.</w:t>
      </w:r>
      <w:r w:rsidR="00D61CCD" w:rsidRPr="00E435B7">
        <w:rPr>
          <w:rFonts w:ascii="Arial" w:hAnsi="Arial" w:cs="Arial"/>
          <w:sz w:val="24"/>
          <w:szCs w:val="24"/>
        </w:rPr>
        <w:t>12</w:t>
      </w:r>
    </w:p>
    <w:p w14:paraId="28DCD9CF" w14:textId="08B80977" w:rsidR="00506D54" w:rsidRPr="00E435B7" w:rsidRDefault="00386A2F" w:rsidP="00506D54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 Uma vez injetada no músculo, a cadeia pesada da neurotoxina, o domínio Hc, se liga aos gangliosídeos que ficam na parte externa da membrana celular dos terminais nervosos motores e, na sequência, o processo de internalização acontece.</w:t>
      </w:r>
      <w:r w:rsidR="005D79B9" w:rsidRPr="00E435B7">
        <w:rPr>
          <w:rFonts w:ascii="Arial" w:hAnsi="Arial" w:cs="Arial"/>
          <w:sz w:val="24"/>
          <w:szCs w:val="24"/>
        </w:rPr>
        <w:t xml:space="preserve"> 13</w:t>
      </w:r>
    </w:p>
    <w:p w14:paraId="2AA125EA" w14:textId="3D5E846B" w:rsidR="005368A2" w:rsidRPr="00E435B7" w:rsidRDefault="00386A2F" w:rsidP="00506D54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 Na segunda etapa, acontece a internalização endócrina da toxina, que é mediada pelos receptores pré-sinápticos através da cadeia pesada e traz a formação de vesículas com a neurotoxina no interior, segundo Colhado et al. (2009). Uma vez dentro do neurônio, a molécula de toxina botulínica fica contida no endossoma (vesícula neuronal), que interage com o domínio de translocação da cadeia pesada (HN), facilitando a liberação da cadeia leve no citoplasma do neurônio motor</w:t>
      </w:r>
      <w:r w:rsidR="005D79B9" w:rsidRPr="00E435B7">
        <w:rPr>
          <w:rFonts w:ascii="Arial" w:hAnsi="Arial" w:cs="Arial"/>
          <w:sz w:val="24"/>
          <w:szCs w:val="24"/>
        </w:rPr>
        <w:t>. 13</w:t>
      </w:r>
    </w:p>
    <w:p w14:paraId="0567BE5C" w14:textId="7CEBD2D4" w:rsidR="00BC00EB" w:rsidRPr="00E435B7" w:rsidRDefault="00386A2F" w:rsidP="00506D54">
      <w:pPr>
        <w:ind w:firstLine="708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E, por fim, a terceira etapa é o bloqueio neuromuscular, que tem atividade catalítica e é translocada do endossoma para o citoplasma neuronal e fragmenta as proteínas SNAREs de acordo com a especificidade de cada tipo de toxina. A inibição da liberação de acetilcolina acontece devido a uma quebra de ligações peptídicas específicas do complexo SNARE. Este processo proteolítico zinco dependente é mediado pela cadeia leve da neurotoxina que possui um átomo zinco na sua estrutura que é fundamental para cumprir esta função</w:t>
      </w:r>
      <w:r w:rsidR="005D79B9" w:rsidRPr="00E435B7">
        <w:rPr>
          <w:rFonts w:ascii="Arial" w:hAnsi="Arial" w:cs="Arial"/>
          <w:sz w:val="24"/>
          <w:szCs w:val="24"/>
        </w:rPr>
        <w:t>. 13</w:t>
      </w:r>
    </w:p>
    <w:p w14:paraId="1AFD85EF" w14:textId="53E42CE9" w:rsidR="004C4DC8" w:rsidRPr="00E435B7" w:rsidRDefault="008D685B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39BB6F7" wp14:editId="04364DA3">
            <wp:extent cx="5400040" cy="2794000"/>
            <wp:effectExtent l="0" t="0" r="0" b="6350"/>
            <wp:docPr id="782436808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6808" name="Imagem 1" descr="Uma imagem contendo text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4DCA" w14:textId="62B2239D" w:rsidR="009D3BCC" w:rsidRPr="00E435B7" w:rsidRDefault="00E435B7" w:rsidP="00595C4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4.2 </w:t>
      </w:r>
      <w:r w:rsidR="00E97CE2" w:rsidRPr="00E435B7">
        <w:rPr>
          <w:rFonts w:ascii="Arial" w:hAnsi="Arial" w:cs="Arial"/>
          <w:b/>
          <w:bCs/>
          <w:sz w:val="24"/>
          <w:szCs w:val="24"/>
        </w:rPr>
        <w:t xml:space="preserve">IMUNOGENICIDADE </w:t>
      </w:r>
    </w:p>
    <w:p w14:paraId="1C780559" w14:textId="6F7C57E3" w:rsidR="00E97CE2" w:rsidRPr="00E435B7" w:rsidRDefault="001E5AF7" w:rsidP="00E97CE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Como a TBA é considerada uma substância estranha pelo organismo, pode haver o desenvolvimento de uma resposta imune, principalmente quando há aplicação repetida, contra a neurotoxina, que resultará no fracasso do tratamento secundário. Quando não se obtém resultados esperados, a falha da ação tóxica pode ser transitória pelo fato da aplicação no tratamento não ser eficaz, ou permanente, de modo que nem mesmo a primeira aplicação e as seguintes causam efeito clínico desejado. Para se evitar o processo de imunorresistência, indica se utilizar a menor dose efetiva, fazendo com que o intervalo de tempo entre as aplicações seja o maior possível</w:t>
      </w:r>
      <w:r w:rsidR="00E97CE2" w:rsidRPr="00E435B7">
        <w:rPr>
          <w:rFonts w:ascii="Arial" w:hAnsi="Arial" w:cs="Arial"/>
          <w:sz w:val="24"/>
          <w:szCs w:val="24"/>
        </w:rPr>
        <w:t xml:space="preserve">. </w:t>
      </w:r>
      <w:r w:rsidR="00E97CE2" w:rsidRPr="00E435B7">
        <w:rPr>
          <w:rFonts w:ascii="Arial" w:hAnsi="Arial" w:cs="Arial"/>
          <w:sz w:val="24"/>
          <w:szCs w:val="24"/>
          <w:vertAlign w:val="superscript"/>
        </w:rPr>
        <w:t>9</w:t>
      </w:r>
    </w:p>
    <w:p w14:paraId="2C2DF1BC" w14:textId="07B66676" w:rsidR="001E5AF7" w:rsidRPr="00E435B7" w:rsidRDefault="001E5AF7" w:rsidP="00E97CE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Uma não resposta primária é quando se tem falta de uma resposta clínica desde a primeira aplicação. Estudos relatam que isso ocorre devido aos pacientes possuírem uma sensibilidade reduzida a TBA. Cabe ressaltar que dosagens inadequadas, erros de preparação e armazenamento, e uma administração errada do fármaco também podem interferir na resposta primária e secundária. Uma não resposta secundária refere-se quando, já em meio ao tratamento e doses anteriores foram eficazes, aplica-se uma nova dose e não se observa nenhum benefício clínico, fato que o paciente pode produzir anticorpos antitoxina botulínica, levando conseqüentemente, a uma falha do tratamento</w:t>
      </w:r>
      <w:r w:rsidR="00E97CE2" w:rsidRPr="00E435B7">
        <w:rPr>
          <w:rFonts w:ascii="Arial" w:hAnsi="Arial" w:cs="Arial"/>
          <w:sz w:val="24"/>
          <w:szCs w:val="24"/>
        </w:rPr>
        <w:t xml:space="preserve">. </w:t>
      </w:r>
      <w:r w:rsidR="00E97CE2" w:rsidRPr="00E435B7">
        <w:rPr>
          <w:rFonts w:ascii="Arial" w:hAnsi="Arial" w:cs="Arial"/>
          <w:sz w:val="24"/>
          <w:szCs w:val="24"/>
          <w:vertAlign w:val="superscript"/>
        </w:rPr>
        <w:t>9</w:t>
      </w:r>
    </w:p>
    <w:p w14:paraId="56094A7F" w14:textId="4458C4BE" w:rsidR="005D79B9" w:rsidRPr="00E435B7" w:rsidRDefault="005D79B9" w:rsidP="60ECEA3E">
      <w:pPr>
        <w:rPr>
          <w:rFonts w:ascii="Arial" w:hAnsi="Arial" w:cs="Arial"/>
          <w:sz w:val="24"/>
          <w:szCs w:val="24"/>
        </w:rPr>
      </w:pPr>
    </w:p>
    <w:p w14:paraId="4000D78C" w14:textId="17B94C72" w:rsidR="00313DF4" w:rsidRDefault="00313DF4" w:rsidP="60ECEA3E">
      <w:pPr>
        <w:rPr>
          <w:rFonts w:ascii="Arial" w:hAnsi="Arial" w:cs="Arial"/>
          <w:b/>
          <w:bCs/>
          <w:sz w:val="24"/>
          <w:szCs w:val="24"/>
        </w:rPr>
      </w:pPr>
      <w:r w:rsidRPr="60ECEA3E">
        <w:rPr>
          <w:rFonts w:ascii="Arial" w:hAnsi="Arial" w:cs="Arial"/>
          <w:b/>
          <w:bCs/>
          <w:sz w:val="24"/>
          <w:szCs w:val="24"/>
        </w:rPr>
        <w:t xml:space="preserve">4.3 FATORES QUE INTERFEREM NO RESULTADO CLÍNICO </w:t>
      </w:r>
    </w:p>
    <w:p w14:paraId="45995968" w14:textId="158C3CB0" w:rsidR="009D3BCC" w:rsidRPr="00E435B7" w:rsidRDefault="009D3BCC" w:rsidP="0DE32A96">
      <w:pPr>
        <w:jc w:val="both"/>
        <w:rPr>
          <w:rFonts w:ascii="Arial" w:hAnsi="Arial" w:cs="Arial"/>
          <w:sz w:val="24"/>
          <w:szCs w:val="24"/>
        </w:rPr>
      </w:pPr>
      <w:r w:rsidRPr="0DE32A96">
        <w:rPr>
          <w:rFonts w:ascii="Arial" w:hAnsi="Arial" w:cs="Arial"/>
          <w:sz w:val="24"/>
          <w:szCs w:val="24"/>
        </w:rPr>
        <w:t xml:space="preserve">Nabota </w:t>
      </w:r>
    </w:p>
    <w:p w14:paraId="739AE255" w14:textId="6CF29B10" w:rsidR="0065782E" w:rsidRPr="00E435B7" w:rsidRDefault="0065782E" w:rsidP="0DE32A96">
      <w:pPr>
        <w:jc w:val="both"/>
        <w:rPr>
          <w:rFonts w:ascii="Arial" w:hAnsi="Arial" w:cs="Arial"/>
          <w:sz w:val="24"/>
          <w:szCs w:val="24"/>
        </w:rPr>
      </w:pPr>
      <w:r w:rsidRPr="0DE32A96">
        <w:rPr>
          <w:rFonts w:ascii="Arial" w:hAnsi="Arial" w:cs="Arial"/>
          <w:sz w:val="24"/>
          <w:szCs w:val="24"/>
        </w:rPr>
        <w:t>Reconstituição</w:t>
      </w:r>
    </w:p>
    <w:p w14:paraId="675B03B9" w14:textId="368390D1" w:rsidR="009D3BCC" w:rsidRPr="00E435B7" w:rsidRDefault="009D3BCC" w:rsidP="0DE32A96">
      <w:pPr>
        <w:jc w:val="both"/>
        <w:rPr>
          <w:rFonts w:ascii="Arial" w:hAnsi="Arial" w:cs="Arial"/>
          <w:sz w:val="24"/>
          <w:szCs w:val="24"/>
        </w:rPr>
      </w:pPr>
      <w:r w:rsidRPr="0DE32A96">
        <w:rPr>
          <w:rFonts w:ascii="Arial" w:hAnsi="Arial" w:cs="Arial"/>
          <w:sz w:val="24"/>
          <w:szCs w:val="24"/>
        </w:rPr>
        <w:t xml:space="preserve">Pontos de aplicação </w:t>
      </w:r>
    </w:p>
    <w:p w14:paraId="685BF28D" w14:textId="55D2D211" w:rsidR="009D3BCC" w:rsidRPr="00E435B7" w:rsidRDefault="009D3BCC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Dose </w:t>
      </w:r>
    </w:p>
    <w:p w14:paraId="72009117" w14:textId="0E6BD560" w:rsidR="009D3BCC" w:rsidRPr="00E435B7" w:rsidRDefault="009D3BCC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Plano de aplicação </w:t>
      </w:r>
    </w:p>
    <w:p w14:paraId="54324E69" w14:textId="77777777" w:rsidR="00C46892" w:rsidRPr="00E435B7" w:rsidRDefault="00C46892" w:rsidP="00595C4F">
      <w:pPr>
        <w:rPr>
          <w:rFonts w:ascii="Arial" w:hAnsi="Arial" w:cs="Arial"/>
          <w:sz w:val="24"/>
          <w:szCs w:val="24"/>
        </w:rPr>
      </w:pPr>
    </w:p>
    <w:p w14:paraId="248B6B6D" w14:textId="77777777" w:rsidR="00C46892" w:rsidRPr="00E435B7" w:rsidRDefault="00C46892" w:rsidP="00595C4F">
      <w:pPr>
        <w:rPr>
          <w:rFonts w:ascii="Arial" w:hAnsi="Arial" w:cs="Arial"/>
          <w:sz w:val="24"/>
          <w:szCs w:val="24"/>
        </w:rPr>
      </w:pPr>
    </w:p>
    <w:p w14:paraId="53A600B4" w14:textId="28F6F115" w:rsidR="009A5683" w:rsidRPr="00E435B7" w:rsidRDefault="00F34FBB" w:rsidP="00595C4F">
      <w:p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 xml:space="preserve">REFERENCIAS </w:t>
      </w:r>
    </w:p>
    <w:p w14:paraId="7C2CD15F" w14:textId="77777777" w:rsidR="00F34FBB" w:rsidRPr="00E435B7" w:rsidRDefault="00F34FBB" w:rsidP="00595C4F">
      <w:pPr>
        <w:rPr>
          <w:rFonts w:ascii="Arial" w:hAnsi="Arial" w:cs="Arial"/>
          <w:sz w:val="24"/>
          <w:szCs w:val="24"/>
        </w:rPr>
      </w:pPr>
    </w:p>
    <w:p w14:paraId="008C8499" w14:textId="272E3855" w:rsidR="00F34FBB" w:rsidRPr="00E435B7" w:rsidRDefault="00F34FBB" w:rsidP="00F34FB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Frith, C.: Role of Facial Expressions in Social Interactions. Phil. Trans. R. Soc. B, 364, pp. 3453--3458. [Em linha]. Disponível em http://rstb.royalsocietypublishing.org/content/364/1535/3453.full. html. [Consultado em 14/02/2013] (2009)</w:t>
      </w:r>
    </w:p>
    <w:p w14:paraId="7A1A8787" w14:textId="65EA55E5" w:rsidR="009A5683" w:rsidRPr="00E435B7" w:rsidRDefault="0025143D" w:rsidP="0025143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Matsumoto, D. &amp; Hwang, H. S.: Reading facial expressions of emotion. Psychological Science Agenda, 25. [Em linha]. Disponível em</w:t>
      </w:r>
      <w:r w:rsidRPr="00E435B7">
        <w:rPr>
          <w:rFonts w:ascii="Arial" w:hAnsi="Arial" w:cs="Arial"/>
          <w:sz w:val="24"/>
          <w:szCs w:val="24"/>
        </w:rPr>
        <w:cr/>
      </w:r>
    </w:p>
    <w:p w14:paraId="77278EE7" w14:textId="2215F40C" w:rsidR="008D243F" w:rsidRPr="00E435B7" w:rsidRDefault="00AF7918" w:rsidP="00AF791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Thomas JR. Update on Facial Skin Rejuvenation Technology. Facial Plast Surg Clin North Am. 2020 Feb;28(1):xi. doi: 10.1016/j.fsc.2019.10.001.</w:t>
      </w:r>
    </w:p>
    <w:p w14:paraId="37D9FAA2" w14:textId="357330EA" w:rsidR="008D243F" w:rsidRPr="00E435B7" w:rsidRDefault="00792B79" w:rsidP="00792B7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Amer M, Farag F, Amer A, ElKot R, Mahmoud R. Dermapen in the treatment of wrinkles in cigarette smokers and skinaging effectively. J Cosmet Dermatol. 2018 Dec;17(6):1200-1204. doi: 10.1111/jocd.12748.</w:t>
      </w:r>
    </w:p>
    <w:p w14:paraId="7AF29670" w14:textId="77777777" w:rsidR="006214F6" w:rsidRPr="00E435B7" w:rsidRDefault="00470A62" w:rsidP="00595C4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color w:val="222222"/>
          <w:sz w:val="24"/>
          <w:szCs w:val="24"/>
          <w:shd w:val="clear" w:color="auto" w:fill="FFFFFF"/>
        </w:rPr>
        <w:t>DE LIMA, Adma et al. Padrões de contração muscular e suas associações no terço superior da face: um estudo clínico e epidemiológico. </w:t>
      </w:r>
      <w:r w:rsidRPr="00E435B7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Surg. cosmet. dermatol.(Impr.)</w:t>
      </w:r>
      <w:r w:rsidRPr="00E435B7">
        <w:rPr>
          <w:rFonts w:ascii="Arial" w:hAnsi="Arial" w:cs="Arial"/>
          <w:color w:val="222222"/>
          <w:sz w:val="24"/>
          <w:szCs w:val="24"/>
          <w:shd w:val="clear" w:color="auto" w:fill="FFFFFF"/>
        </w:rPr>
        <w:t>, p. e20220024-e20220024, 2022.</w:t>
      </w:r>
    </w:p>
    <w:p w14:paraId="4CD09E4A" w14:textId="78C6BAA0" w:rsidR="00595C4F" w:rsidRPr="00E435B7" w:rsidRDefault="00A87DB4" w:rsidP="00595C4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  <w:shd w:val="clear" w:color="auto" w:fill="FFFFFF"/>
        </w:rPr>
        <w:t>Vasconcellos RC, Sotero P, Lage R. Atualizações do uso cosmiátrico e terapêutico da toxina botulínica. Int Surg Cosmet Dermatology. 2019;10(3):97–104</w:t>
      </w:r>
    </w:p>
    <w:p w14:paraId="36C6EA70" w14:textId="43DAA052" w:rsidR="00595C4F" w:rsidRPr="00E435B7" w:rsidRDefault="006214F6" w:rsidP="006214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  <w:shd w:val="clear" w:color="auto" w:fill="FFFFFF"/>
        </w:rPr>
        <w:t>Santos CS, Mattos RM, Fulco TO. Toxina botulínica tipo A e suas complicações na estética facial. Rev Episteme Transversalis. 2015;6(2236–2649):73–84.</w:t>
      </w:r>
    </w:p>
    <w:p w14:paraId="3FEA4E03" w14:textId="4FCF3462" w:rsidR="00A81F1A" w:rsidRPr="00E435B7" w:rsidRDefault="00A81F1A" w:rsidP="006214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26" w:history="1">
        <w:r w:rsidRPr="00E435B7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TEIXEIRA, Stephanie Alderete Feres</w:t>
        </w:r>
      </w:hyperlink>
      <w:r w:rsidRPr="00E435B7">
        <w:rPr>
          <w:rFonts w:ascii="Arial" w:hAnsi="Arial" w:cs="Arial"/>
          <w:color w:val="000000"/>
          <w:sz w:val="24"/>
          <w:szCs w:val="24"/>
          <w:shd w:val="clear" w:color="auto" w:fill="FFFFFF"/>
        </w:rPr>
        <w:t>  e  </w:t>
      </w:r>
      <w:hyperlink r:id="rId27" w:history="1">
        <w:r w:rsidRPr="00E435B7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SPOSITO, Maria Matilde de Mello</w:t>
        </w:r>
      </w:hyperlink>
      <w:r w:rsidRPr="00E435B7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E435B7">
        <w:rPr>
          <w:rStyle w:val="article-title"/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 A utilização de Toxina Onabotulínica A para bruxismo: Revisão de Literatura.</w:t>
      </w:r>
      <w:r w:rsidRPr="00E435B7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 Rev. Bras. Odontol.</w:t>
      </w:r>
      <w:r w:rsidRPr="00E435B7">
        <w:rPr>
          <w:rFonts w:ascii="Arial" w:hAnsi="Arial" w:cs="Arial"/>
          <w:color w:val="000000"/>
          <w:sz w:val="24"/>
          <w:szCs w:val="24"/>
          <w:shd w:val="clear" w:color="auto" w:fill="FFFFFF"/>
        </w:rPr>
        <w:t> [online]. 2013, vol.70, n.2, pp. 202-204. ISSN 1984-3747.</w:t>
      </w:r>
    </w:p>
    <w:p w14:paraId="18CFD5C8" w14:textId="144600FD" w:rsidR="00E97CE2" w:rsidRPr="00E435B7" w:rsidRDefault="00E97CE2" w:rsidP="006214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BENECKE, R. Clinical Relevance of Botulinum Toxin Immunogenicity. Biodrugs. V. 26, N.2, p. 1-9, 2012.</w:t>
      </w:r>
    </w:p>
    <w:p w14:paraId="5DBCC1CA" w14:textId="4B9F3F76" w:rsidR="009E18EE" w:rsidRPr="00E435B7" w:rsidRDefault="009E18EE" w:rsidP="006214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RIBEIRO, I. et al. O uso da toxina botulínica tipo A nas rugas dinâmicas do terço superior da face. Revista da Universidade Ibirapuera, São Paulo, v.7, p. 31-37, jan/jun, 2014.</w:t>
      </w:r>
    </w:p>
    <w:p w14:paraId="2E0C7046" w14:textId="186F49C5" w:rsidR="003F3904" w:rsidRPr="00E435B7" w:rsidRDefault="003F3904" w:rsidP="006214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Welch M., Purkiss J., Foster K. (2000) Sensitivity of embryonic rat dorsal root ganglia neurons to Clostridium botulinum neurotoxins. Toxicon 38: 245–258.</w:t>
      </w:r>
    </w:p>
    <w:p w14:paraId="2E50F87B" w14:textId="5E0C7F32" w:rsidR="00D61CCD" w:rsidRPr="00E435B7" w:rsidRDefault="00D61CCD" w:rsidP="006214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sz w:val="24"/>
          <w:szCs w:val="24"/>
        </w:rPr>
        <w:t>Dolly JO, Aoki KR. The structure and mode of action of different botulinum toxins. Eur J Neurol. 2006 Dec;13 Suppl 4:1-9. doi: 10.1111/j.1468-1331.2006.01648.x. PMID: 17112344.</w:t>
      </w:r>
    </w:p>
    <w:p w14:paraId="0619B439" w14:textId="2B0D391E" w:rsidR="005D79B9" w:rsidRPr="00E435B7" w:rsidRDefault="005D79B9" w:rsidP="006214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435B7">
        <w:rPr>
          <w:rFonts w:ascii="Arial" w:hAnsi="Arial" w:cs="Arial"/>
          <w:color w:val="222222"/>
          <w:sz w:val="24"/>
          <w:szCs w:val="24"/>
          <w:shd w:val="clear" w:color="auto" w:fill="FFFFFF"/>
        </w:rPr>
        <w:lastRenderedPageBreak/>
        <w:t>ROSSETTO, Ornella; PIRAZZINI, Marco; MONTECUCCO, Cesare. Botulinum neurotoxins: genetic, structural and mechanistic insights. </w:t>
      </w:r>
      <w:r w:rsidRPr="00E435B7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Nature Reviews Microbiology</w:t>
      </w:r>
      <w:r w:rsidRPr="00E435B7">
        <w:rPr>
          <w:rFonts w:ascii="Arial" w:hAnsi="Arial" w:cs="Arial"/>
          <w:color w:val="222222"/>
          <w:sz w:val="24"/>
          <w:szCs w:val="24"/>
          <w:shd w:val="clear" w:color="auto" w:fill="FFFFFF"/>
        </w:rPr>
        <w:t>, v. 12, n. 8, p. 535-549, 2014.</w:t>
      </w:r>
    </w:p>
    <w:sectPr w:rsidR="005D79B9" w:rsidRPr="00E435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mbo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6632"/>
    <w:multiLevelType w:val="hybridMultilevel"/>
    <w:tmpl w:val="E0523D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1351D"/>
    <w:multiLevelType w:val="hybridMultilevel"/>
    <w:tmpl w:val="1792A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964510">
    <w:abstractNumId w:val="1"/>
  </w:num>
  <w:num w:numId="2" w16cid:durableId="149699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4F"/>
    <w:rsid w:val="00072B78"/>
    <w:rsid w:val="00080740"/>
    <w:rsid w:val="000C7B10"/>
    <w:rsid w:val="00106B44"/>
    <w:rsid w:val="001716E1"/>
    <w:rsid w:val="00175716"/>
    <w:rsid w:val="0017595B"/>
    <w:rsid w:val="00177A9E"/>
    <w:rsid w:val="001E5AF7"/>
    <w:rsid w:val="00205088"/>
    <w:rsid w:val="002513B1"/>
    <w:rsid w:val="0025143D"/>
    <w:rsid w:val="002E388C"/>
    <w:rsid w:val="00313DF4"/>
    <w:rsid w:val="00322614"/>
    <w:rsid w:val="00367339"/>
    <w:rsid w:val="00380AC8"/>
    <w:rsid w:val="003847AD"/>
    <w:rsid w:val="00386A2F"/>
    <w:rsid w:val="00390BED"/>
    <w:rsid w:val="0039216B"/>
    <w:rsid w:val="003B0D80"/>
    <w:rsid w:val="003E735B"/>
    <w:rsid w:val="003F3904"/>
    <w:rsid w:val="004069E2"/>
    <w:rsid w:val="00407C5A"/>
    <w:rsid w:val="00410387"/>
    <w:rsid w:val="00452450"/>
    <w:rsid w:val="00460B89"/>
    <w:rsid w:val="00470A62"/>
    <w:rsid w:val="00492258"/>
    <w:rsid w:val="004A6AE7"/>
    <w:rsid w:val="004C3DF9"/>
    <w:rsid w:val="004C4DC8"/>
    <w:rsid w:val="00506D54"/>
    <w:rsid w:val="00506D6E"/>
    <w:rsid w:val="005368A2"/>
    <w:rsid w:val="00560160"/>
    <w:rsid w:val="00595C4F"/>
    <w:rsid w:val="005A2CE0"/>
    <w:rsid w:val="005B6D5F"/>
    <w:rsid w:val="005B77D1"/>
    <w:rsid w:val="005D64B5"/>
    <w:rsid w:val="005D79B9"/>
    <w:rsid w:val="005E4C54"/>
    <w:rsid w:val="00606FD3"/>
    <w:rsid w:val="006211E7"/>
    <w:rsid w:val="006214F6"/>
    <w:rsid w:val="00623F78"/>
    <w:rsid w:val="00635A9D"/>
    <w:rsid w:val="006517D9"/>
    <w:rsid w:val="0065782E"/>
    <w:rsid w:val="006F5AA5"/>
    <w:rsid w:val="007206ED"/>
    <w:rsid w:val="00792B79"/>
    <w:rsid w:val="007C72CF"/>
    <w:rsid w:val="007D3B14"/>
    <w:rsid w:val="00810C57"/>
    <w:rsid w:val="00845469"/>
    <w:rsid w:val="00861815"/>
    <w:rsid w:val="008A43C5"/>
    <w:rsid w:val="008A66B3"/>
    <w:rsid w:val="008B7FB9"/>
    <w:rsid w:val="008D243F"/>
    <w:rsid w:val="008D685B"/>
    <w:rsid w:val="008E7DA0"/>
    <w:rsid w:val="008F2532"/>
    <w:rsid w:val="0090620B"/>
    <w:rsid w:val="009638B9"/>
    <w:rsid w:val="00963F7F"/>
    <w:rsid w:val="00974074"/>
    <w:rsid w:val="00975970"/>
    <w:rsid w:val="009A5683"/>
    <w:rsid w:val="009C10C4"/>
    <w:rsid w:val="009C1F89"/>
    <w:rsid w:val="009D3BCC"/>
    <w:rsid w:val="009E18EE"/>
    <w:rsid w:val="00A03180"/>
    <w:rsid w:val="00A0667D"/>
    <w:rsid w:val="00A13578"/>
    <w:rsid w:val="00A463DA"/>
    <w:rsid w:val="00A71F4C"/>
    <w:rsid w:val="00A81F1A"/>
    <w:rsid w:val="00A87DB4"/>
    <w:rsid w:val="00AF6588"/>
    <w:rsid w:val="00AF7918"/>
    <w:rsid w:val="00B01E80"/>
    <w:rsid w:val="00B07800"/>
    <w:rsid w:val="00B53CF6"/>
    <w:rsid w:val="00B80ADE"/>
    <w:rsid w:val="00BA23EF"/>
    <w:rsid w:val="00BC00EB"/>
    <w:rsid w:val="00BE44F8"/>
    <w:rsid w:val="00BF33D4"/>
    <w:rsid w:val="00C217F0"/>
    <w:rsid w:val="00C22D81"/>
    <w:rsid w:val="00C35645"/>
    <w:rsid w:val="00C40691"/>
    <w:rsid w:val="00C46892"/>
    <w:rsid w:val="00CC3441"/>
    <w:rsid w:val="00D050F1"/>
    <w:rsid w:val="00D14F17"/>
    <w:rsid w:val="00D30398"/>
    <w:rsid w:val="00D61CCD"/>
    <w:rsid w:val="00D66D45"/>
    <w:rsid w:val="00D81A98"/>
    <w:rsid w:val="00DE16E7"/>
    <w:rsid w:val="00DE20B3"/>
    <w:rsid w:val="00E050D7"/>
    <w:rsid w:val="00E14715"/>
    <w:rsid w:val="00E435AB"/>
    <w:rsid w:val="00E435B7"/>
    <w:rsid w:val="00E5781C"/>
    <w:rsid w:val="00E64C9E"/>
    <w:rsid w:val="00E97CE2"/>
    <w:rsid w:val="00EA43C0"/>
    <w:rsid w:val="00EB4A0F"/>
    <w:rsid w:val="00EE6D2A"/>
    <w:rsid w:val="00EF3279"/>
    <w:rsid w:val="00F16E7B"/>
    <w:rsid w:val="00F26051"/>
    <w:rsid w:val="00F3488A"/>
    <w:rsid w:val="00F34EA7"/>
    <w:rsid w:val="00F34FBB"/>
    <w:rsid w:val="00FD2B70"/>
    <w:rsid w:val="00FD6D22"/>
    <w:rsid w:val="00FD741A"/>
    <w:rsid w:val="0D90BC17"/>
    <w:rsid w:val="0DE32A96"/>
    <w:rsid w:val="17E0401B"/>
    <w:rsid w:val="18AC2D34"/>
    <w:rsid w:val="1FFCB621"/>
    <w:rsid w:val="39D6E8C9"/>
    <w:rsid w:val="44A94933"/>
    <w:rsid w:val="54466C57"/>
    <w:rsid w:val="57E8D6E2"/>
    <w:rsid w:val="5833AE3B"/>
    <w:rsid w:val="5B89A0F2"/>
    <w:rsid w:val="60ECEA3E"/>
    <w:rsid w:val="64FAAECB"/>
    <w:rsid w:val="6785E098"/>
    <w:rsid w:val="7A0E16D7"/>
    <w:rsid w:val="7B43EC96"/>
    <w:rsid w:val="7CAAA019"/>
    <w:rsid w:val="7D6B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7F5C"/>
  <w15:chartTrackingRefBased/>
  <w15:docId w15:val="{4363FE41-416C-4F41-AABB-E7EA10FE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5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5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5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5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5C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5C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5C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5C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5C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5C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5C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C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5C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5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5C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7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5781C"/>
    <w:rPr>
      <w:b/>
      <w:bCs/>
    </w:rPr>
  </w:style>
  <w:style w:type="character" w:customStyle="1" w:styleId="A5">
    <w:name w:val="A5"/>
    <w:uiPriority w:val="99"/>
    <w:rsid w:val="002513B1"/>
    <w:rPr>
      <w:rFonts w:cs="Bembo Std"/>
      <w:color w:val="211D1E"/>
      <w:sz w:val="20"/>
      <w:szCs w:val="20"/>
    </w:rPr>
  </w:style>
  <w:style w:type="character" w:customStyle="1" w:styleId="A6">
    <w:name w:val="A6"/>
    <w:uiPriority w:val="99"/>
    <w:rsid w:val="00810C57"/>
    <w:rPr>
      <w:rFonts w:cs="Bembo Std"/>
      <w:color w:val="211D1E"/>
      <w:sz w:val="11"/>
      <w:szCs w:val="11"/>
    </w:rPr>
  </w:style>
  <w:style w:type="character" w:styleId="Hyperlink">
    <w:name w:val="Hyperlink"/>
    <w:basedOn w:val="Fontepargpadro"/>
    <w:uiPriority w:val="99"/>
    <w:semiHidden/>
    <w:unhideWhenUsed/>
    <w:rsid w:val="00A81F1A"/>
    <w:rPr>
      <w:color w:val="0000FF"/>
      <w:u w:val="single"/>
    </w:rPr>
  </w:style>
  <w:style w:type="character" w:customStyle="1" w:styleId="article-title">
    <w:name w:val="article-title"/>
    <w:basedOn w:val="Fontepargpadro"/>
    <w:rsid w:val="00A81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9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://revodonto.bvsalud.org/cgi-bin/wxis.exe/iah/?IsisScript=iah/iah.xis&amp;base=article%5Edlibrary&amp;format=iso.pft&amp;lang=p&amp;nextAction=lnk&amp;indexSearch=AU&amp;exprSearch=TEIXEIRA,+STEPHANIE+ALDERETE+FERE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4.jpe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://revodonto.bvsalud.org/cgi-bin/wxis.exe/iah/?IsisScript=iah/iah.xis&amp;base=article%5Edlibrary&amp;format=iso.pft&amp;lang=p&amp;nextAction=lnk&amp;indexSearch=AU&amp;exprSearch=SPOSITO,+MARIA+MATILDE+DE+MELL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45a830-b5a6-464d-bd85-8a66a1d5b33a">
      <Terms xmlns="http://schemas.microsoft.com/office/infopath/2007/PartnerControls"/>
    </lcf76f155ced4ddcb4097134ff3c332f>
    <TaxCatchAll xmlns="8e1a0aae-4cc2-485a-a795-206842168b3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3EE974B0F3D840B4CB293ADE07C51B" ma:contentTypeVersion="11" ma:contentTypeDescription="Create a new document." ma:contentTypeScope="" ma:versionID="417bb06a749931fad6db661f879a4097">
  <xsd:schema xmlns:xsd="http://www.w3.org/2001/XMLSchema" xmlns:xs="http://www.w3.org/2001/XMLSchema" xmlns:p="http://schemas.microsoft.com/office/2006/metadata/properties" xmlns:ns2="0145a830-b5a6-464d-bd85-8a66a1d5b33a" xmlns:ns3="8e1a0aae-4cc2-485a-a795-206842168b3a" targetNamespace="http://schemas.microsoft.com/office/2006/metadata/properties" ma:root="true" ma:fieldsID="b3c94b7605baf9279de7f97d3b4214e2" ns2:_="" ns3:_="">
    <xsd:import namespace="0145a830-b5a6-464d-bd85-8a66a1d5b33a"/>
    <xsd:import namespace="8e1a0aae-4cc2-485a-a795-206842168b3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5a830-b5a6-464d-bd85-8a66a1d5b33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b5c2c69-5667-4e80-a845-2016869f6f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a0aae-4cc2-485a-a795-206842168b3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4d1b152-9242-4d7a-8b96-554f8f724a1a}" ma:internalName="TaxCatchAll" ma:showField="CatchAllData" ma:web="8e1a0aae-4cc2-485a-a795-206842168b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CAD375-CE13-43EF-9C3C-EF2F0200A3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3965DE-2370-4E39-B74A-0F13258AD783}">
  <ds:schemaRefs>
    <ds:schemaRef ds:uri="http://schemas.microsoft.com/office/2006/metadata/properties"/>
    <ds:schemaRef ds:uri="http://schemas.microsoft.com/office/infopath/2007/PartnerControls"/>
    <ds:schemaRef ds:uri="efe43a61-0d7d-4893-b3ed-e3f7988a9dda"/>
    <ds:schemaRef ds:uri="deaa3814-f65b-4ad2-b0fe-718a0b885e6d"/>
    <ds:schemaRef ds:uri="0145a830-b5a6-464d-bd85-8a66a1d5b33a"/>
    <ds:schemaRef ds:uri="8e1a0aae-4cc2-485a-a795-206842168b3a"/>
  </ds:schemaRefs>
</ds:datastoreItem>
</file>

<file path=customXml/itemProps3.xml><?xml version="1.0" encoding="utf-8"?>
<ds:datastoreItem xmlns:ds="http://schemas.openxmlformats.org/officeDocument/2006/customXml" ds:itemID="{685F8ADA-C37E-4C17-BE92-D3CBFB9A56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45a830-b5a6-464d-bd85-8a66a1d5b33a"/>
    <ds:schemaRef ds:uri="8e1a0aae-4cc2-485a-a795-206842168b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2586</Words>
  <Characters>13965</Characters>
  <Application>Microsoft Office Word</Application>
  <DocSecurity>0</DocSecurity>
  <Lines>116</Lines>
  <Paragraphs>33</Paragraphs>
  <ScaleCrop>false</ScaleCrop>
  <Company/>
  <LinksUpToDate>false</LinksUpToDate>
  <CharactersWithSpaces>16518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Treinamentos - Ricardo Rios</dc:creator>
  <cp:keywords/>
  <dc:description/>
  <cp:lastModifiedBy>Flaubert Marques</cp:lastModifiedBy>
  <cp:revision>113</cp:revision>
  <dcterms:created xsi:type="dcterms:W3CDTF">2024-03-18T18:57:00Z</dcterms:created>
  <dcterms:modified xsi:type="dcterms:W3CDTF">2025-05-27T20:20:00Z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0x010100593EE974B0F3D840B4CB293ADE07C51B</vt:lpwstr>
  </property>
  <property fmtid="{D5CDD505-2E9C-101B-9397-08002B2CF9AE}" pid="3" name="MediaServiceImageTags">
    <vt:lpwstr/>
  </property>
  <property fmtid="{D5CDD505-2E9C-101B-9397-08002B2CF9AE}" pid="4" name="Order">
    <vt:r8>636500</vt:r8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</Properties>
</file>