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06" w:rsidRDefault="00603806" w:rsidP="00FD07CD">
      <w:pPr>
        <w:jc w:val="center"/>
      </w:pPr>
      <w:r w:rsidRPr="00603806">
        <w:rPr>
          <w:noProof/>
          <w:lang w:eastAsia="en-NZ"/>
        </w:rPr>
        <w:drawing>
          <wp:inline distT="0" distB="0" distL="0" distR="0">
            <wp:extent cx="5237208" cy="3420000"/>
            <wp:effectExtent l="19050" t="19050" r="20592" b="28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37208" cy="3420000"/>
                    </a:xfrm>
                    <a:prstGeom prst="rect">
                      <a:avLst/>
                    </a:prstGeom>
                    <a:noFill/>
                    <a:ln>
                      <a:solidFill>
                        <a:schemeClr val="accent1"/>
                      </a:solidFill>
                    </a:ln>
                  </pic:spPr>
                </pic:pic>
              </a:graphicData>
            </a:graphic>
          </wp:inline>
        </w:drawing>
      </w:r>
    </w:p>
    <w:p w:rsidR="00FD07CD" w:rsidRPr="002F76FD" w:rsidRDefault="003C3F8E" w:rsidP="00FD07CD">
      <w:pPr>
        <w:rPr>
          <w:b/>
          <w:sz w:val="20"/>
        </w:rPr>
      </w:pPr>
      <w:r>
        <w:rPr>
          <w:b/>
          <w:sz w:val="20"/>
        </w:rPr>
        <w:t xml:space="preserve">Figure A1: </w:t>
      </w:r>
      <w:r w:rsidR="00FD07CD" w:rsidRPr="002F76FD">
        <w:rPr>
          <w:b/>
          <w:sz w:val="20"/>
        </w:rPr>
        <w:t>Mean cockle density (cockles/.25m</w:t>
      </w:r>
      <w:r w:rsidR="00FD07CD" w:rsidRPr="002F76FD">
        <w:rPr>
          <w:b/>
          <w:sz w:val="20"/>
          <w:vertAlign w:val="superscript"/>
        </w:rPr>
        <w:t>2</w:t>
      </w:r>
      <w:r w:rsidR="00FD07CD" w:rsidRPr="002F76FD">
        <w:rPr>
          <w:b/>
          <w:sz w:val="20"/>
        </w:rPr>
        <w:t>) for the High, Mid and Low tidal zones. Error bars are +/- 1 standard error. The effect of tidal zone is significant (</w:t>
      </w:r>
      <w:r w:rsidR="00FD07CD" w:rsidRPr="002F76FD">
        <w:rPr>
          <w:b/>
          <w:i/>
          <w:sz w:val="20"/>
        </w:rPr>
        <w:t>F</w:t>
      </w:r>
      <w:r w:rsidR="00FD07CD" w:rsidRPr="002F76FD">
        <w:rPr>
          <w:b/>
          <w:sz w:val="20"/>
          <w:vertAlign w:val="subscript"/>
        </w:rPr>
        <w:t>2</w:t>
      </w:r>
      <w:proofErr w:type="gramStart"/>
      <w:r w:rsidR="00FD07CD" w:rsidRPr="002F76FD">
        <w:rPr>
          <w:b/>
          <w:sz w:val="20"/>
          <w:vertAlign w:val="subscript"/>
        </w:rPr>
        <w:t>,21</w:t>
      </w:r>
      <w:proofErr w:type="gramEnd"/>
      <w:r w:rsidR="00FD07CD" w:rsidRPr="002F76FD">
        <w:rPr>
          <w:b/>
          <w:sz w:val="20"/>
        </w:rPr>
        <w:t xml:space="preserve"> = 7.115; </w:t>
      </w:r>
      <w:r w:rsidR="00FD07CD" w:rsidRPr="002F76FD">
        <w:rPr>
          <w:b/>
          <w:i/>
          <w:sz w:val="20"/>
        </w:rPr>
        <w:t>p</w:t>
      </w:r>
      <w:r w:rsidR="00FD07CD" w:rsidRPr="002F76FD">
        <w:rPr>
          <w:b/>
          <w:sz w:val="20"/>
        </w:rPr>
        <w:t>=.004).</w:t>
      </w:r>
      <w:r w:rsidR="00612600" w:rsidRPr="002F76FD">
        <w:rPr>
          <w:b/>
          <w:sz w:val="20"/>
        </w:rPr>
        <w:t xml:space="preserve"> Mid and Low means are not significantly different by Tukey's HSD.</w:t>
      </w:r>
    </w:p>
    <w:p w:rsidR="002F76FD" w:rsidRDefault="002F76FD" w:rsidP="00FD07CD">
      <w:pPr>
        <w:rPr>
          <w:b/>
        </w:rPr>
      </w:pPr>
    </w:p>
    <w:p w:rsidR="008D7C3C" w:rsidRDefault="008D7C3C" w:rsidP="00FD07CD">
      <w:pPr>
        <w:rPr>
          <w:b/>
        </w:rPr>
      </w:pPr>
      <w:r w:rsidRPr="008D7C3C">
        <w:rPr>
          <w:b/>
          <w:noProof/>
          <w:lang w:eastAsia="en-NZ"/>
        </w:rPr>
        <w:drawing>
          <wp:inline distT="0" distB="0" distL="0" distR="0">
            <wp:extent cx="5231600" cy="3420000"/>
            <wp:effectExtent l="19050" t="0" r="71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31600" cy="3420000"/>
                    </a:xfrm>
                    <a:prstGeom prst="rect">
                      <a:avLst/>
                    </a:prstGeom>
                    <a:noFill/>
                  </pic:spPr>
                </pic:pic>
              </a:graphicData>
            </a:graphic>
          </wp:inline>
        </w:drawing>
      </w:r>
    </w:p>
    <w:p w:rsidR="008D7C3C" w:rsidRDefault="003C3F8E" w:rsidP="008D7C3C">
      <w:pPr>
        <w:spacing w:before="120"/>
        <w:rPr>
          <w:rFonts w:cstheme="minorHAnsi"/>
          <w:b/>
          <w:sz w:val="18"/>
          <w:szCs w:val="20"/>
        </w:rPr>
      </w:pPr>
      <w:r>
        <w:rPr>
          <w:rFonts w:cstheme="minorHAnsi"/>
          <w:b/>
          <w:sz w:val="18"/>
          <w:szCs w:val="20"/>
        </w:rPr>
        <w:t xml:space="preserve">Figure A2: </w:t>
      </w:r>
      <w:r w:rsidR="008D7C3C" w:rsidRPr="0089081B">
        <w:rPr>
          <w:rFonts w:cstheme="minorHAnsi"/>
          <w:b/>
          <w:sz w:val="18"/>
          <w:szCs w:val="20"/>
        </w:rPr>
        <w:t>Mean shell size (mm) for the High, Mid and Low tidal zones. Error bars are +/- 1 standard error.</w:t>
      </w:r>
      <w:r w:rsidR="008D7C3C">
        <w:rPr>
          <w:rFonts w:cstheme="minorHAnsi"/>
          <w:b/>
          <w:sz w:val="18"/>
          <w:szCs w:val="20"/>
        </w:rPr>
        <w:t xml:space="preserve"> </w:t>
      </w:r>
      <w:r w:rsidR="008D7C3C" w:rsidRPr="008D7C3C">
        <w:rPr>
          <w:rFonts w:cstheme="minorHAnsi"/>
          <w:b/>
          <w:sz w:val="18"/>
          <w:szCs w:val="20"/>
        </w:rPr>
        <w:t>The effect of tidal zone is significant (</w:t>
      </w:r>
      <w:r w:rsidR="008D7C3C" w:rsidRPr="008D7C3C">
        <w:rPr>
          <w:rFonts w:cstheme="minorHAnsi"/>
          <w:b/>
          <w:i/>
          <w:sz w:val="18"/>
          <w:szCs w:val="20"/>
        </w:rPr>
        <w:t>F</w:t>
      </w:r>
      <w:r w:rsidR="008D7C3C" w:rsidRPr="008D7C3C">
        <w:rPr>
          <w:rFonts w:cstheme="minorHAnsi"/>
          <w:b/>
          <w:i/>
          <w:sz w:val="18"/>
          <w:szCs w:val="20"/>
          <w:vertAlign w:val="subscript"/>
        </w:rPr>
        <w:t>2</w:t>
      </w:r>
      <w:proofErr w:type="gramStart"/>
      <w:r w:rsidR="008D7C3C" w:rsidRPr="008D7C3C">
        <w:rPr>
          <w:rFonts w:cstheme="minorHAnsi"/>
          <w:b/>
          <w:i/>
          <w:sz w:val="18"/>
          <w:szCs w:val="20"/>
          <w:vertAlign w:val="subscript"/>
        </w:rPr>
        <w:t>,3047</w:t>
      </w:r>
      <w:proofErr w:type="gramEnd"/>
      <w:r w:rsidR="008D7C3C" w:rsidRPr="009367C5">
        <w:rPr>
          <w:rFonts w:cstheme="minorHAnsi"/>
          <w:b/>
          <w:sz w:val="18"/>
          <w:szCs w:val="20"/>
        </w:rPr>
        <w:t>=342.09</w:t>
      </w:r>
      <w:r w:rsidR="008D7C3C" w:rsidRPr="008D7C3C">
        <w:rPr>
          <w:rFonts w:cstheme="minorHAnsi"/>
          <w:b/>
          <w:i/>
          <w:sz w:val="18"/>
          <w:szCs w:val="20"/>
        </w:rPr>
        <w:t>; p</w:t>
      </w:r>
      <w:r w:rsidR="008D7C3C" w:rsidRPr="009367C5">
        <w:rPr>
          <w:rFonts w:cstheme="minorHAnsi"/>
          <w:b/>
          <w:sz w:val="18"/>
          <w:szCs w:val="20"/>
        </w:rPr>
        <w:t>&lt;.001</w:t>
      </w:r>
      <w:r w:rsidR="008D7C3C" w:rsidRPr="008D7C3C">
        <w:rPr>
          <w:rFonts w:cstheme="minorHAnsi"/>
          <w:b/>
          <w:sz w:val="18"/>
          <w:szCs w:val="20"/>
        </w:rPr>
        <w:t xml:space="preserve">). </w:t>
      </w:r>
      <w:r w:rsidR="00310BC9">
        <w:rPr>
          <w:rFonts w:cstheme="minorHAnsi"/>
          <w:b/>
          <w:sz w:val="18"/>
          <w:szCs w:val="20"/>
        </w:rPr>
        <w:t>All means are</w:t>
      </w:r>
      <w:r w:rsidR="008D7C3C" w:rsidRPr="008D7C3C">
        <w:rPr>
          <w:rFonts w:cstheme="minorHAnsi"/>
          <w:b/>
          <w:sz w:val="18"/>
          <w:szCs w:val="20"/>
        </w:rPr>
        <w:t xml:space="preserve"> significantly different by Tukey's HSD.</w:t>
      </w:r>
    </w:p>
    <w:p w:rsidR="00C22BB2" w:rsidRDefault="00C22BB2" w:rsidP="008D7C3C">
      <w:pPr>
        <w:spacing w:before="120"/>
        <w:rPr>
          <w:rFonts w:cstheme="minorHAnsi"/>
          <w:b/>
          <w:sz w:val="18"/>
          <w:szCs w:val="20"/>
        </w:rPr>
      </w:pPr>
    </w:p>
    <w:p w:rsidR="00C22BB2" w:rsidRPr="0089081B" w:rsidRDefault="00C22BB2" w:rsidP="00C22BB2">
      <w:pPr>
        <w:spacing w:before="120"/>
        <w:rPr>
          <w:rFonts w:cstheme="minorHAnsi"/>
          <w:szCs w:val="24"/>
        </w:rPr>
      </w:pPr>
      <w:r w:rsidRPr="0089081B">
        <w:rPr>
          <w:rFonts w:cstheme="minorHAnsi"/>
          <w:b/>
          <w:szCs w:val="24"/>
        </w:rPr>
        <w:lastRenderedPageBreak/>
        <w:t xml:space="preserve">Effects of Surface vs. Subsurface: </w:t>
      </w:r>
      <w:r>
        <w:rPr>
          <w:rFonts w:cstheme="minorHAnsi"/>
          <w:szCs w:val="24"/>
        </w:rPr>
        <w:t>Specimen c</w:t>
      </w:r>
      <w:r w:rsidRPr="0089081B">
        <w:rPr>
          <w:rFonts w:cstheme="minorHAnsi"/>
          <w:szCs w:val="24"/>
        </w:rPr>
        <w:t xml:space="preserve">ollection proceeded in two phases -- cockles from the upper 2cm of substrate were counted separately as </w:t>
      </w:r>
      <w:r w:rsidRPr="0089081B">
        <w:rPr>
          <w:rFonts w:cstheme="minorHAnsi"/>
          <w:b/>
          <w:szCs w:val="24"/>
        </w:rPr>
        <w:t>surface</w:t>
      </w:r>
      <w:r w:rsidRPr="0089081B">
        <w:rPr>
          <w:rFonts w:cstheme="minorHAnsi"/>
          <w:szCs w:val="24"/>
        </w:rPr>
        <w:t xml:space="preserve"> specimens; those from 2cm to 15cm were counted as </w:t>
      </w:r>
      <w:r w:rsidRPr="0089081B">
        <w:rPr>
          <w:rFonts w:cstheme="minorHAnsi"/>
          <w:b/>
          <w:szCs w:val="24"/>
        </w:rPr>
        <w:t xml:space="preserve">subsurface </w:t>
      </w:r>
      <w:r w:rsidRPr="0089081B">
        <w:rPr>
          <w:rFonts w:cstheme="minorHAnsi"/>
          <w:szCs w:val="24"/>
        </w:rPr>
        <w:t>specimens</w:t>
      </w:r>
      <w:r w:rsidRPr="0089081B">
        <w:rPr>
          <w:rFonts w:cstheme="minorHAnsi"/>
          <w:b/>
          <w:szCs w:val="24"/>
        </w:rPr>
        <w:t xml:space="preserve">. </w:t>
      </w:r>
    </w:p>
    <w:p w:rsidR="00C22BB2" w:rsidRPr="0089081B" w:rsidRDefault="00C22BB2" w:rsidP="00C22BB2">
      <w:pPr>
        <w:spacing w:before="120"/>
        <w:rPr>
          <w:rFonts w:cstheme="minorHAnsi"/>
          <w:szCs w:val="24"/>
        </w:rPr>
      </w:pPr>
      <w:r w:rsidRPr="0089081B">
        <w:rPr>
          <w:rFonts w:cstheme="minorHAnsi"/>
          <w:b/>
          <w:szCs w:val="24"/>
        </w:rPr>
        <w:t xml:space="preserve">Surface Region and Abundance: </w:t>
      </w:r>
      <w:r w:rsidRPr="0089081B">
        <w:rPr>
          <w:rFonts w:cstheme="minorHAnsi"/>
          <w:szCs w:val="24"/>
        </w:rPr>
        <w:t xml:space="preserve">Figure </w:t>
      </w:r>
      <w:r w:rsidR="003C3F8E">
        <w:rPr>
          <w:rFonts w:cstheme="minorHAnsi"/>
          <w:szCs w:val="24"/>
        </w:rPr>
        <w:t>A3</w:t>
      </w:r>
      <w:r w:rsidRPr="0089081B">
        <w:rPr>
          <w:rFonts w:cstheme="minorHAnsi"/>
          <w:szCs w:val="24"/>
        </w:rPr>
        <w:t xml:space="preserve"> shows a factorial plot of mean density (cockles/.25m</w:t>
      </w:r>
      <w:r w:rsidRPr="0089081B">
        <w:rPr>
          <w:rFonts w:cstheme="minorHAnsi"/>
          <w:szCs w:val="24"/>
          <w:vertAlign w:val="superscript"/>
        </w:rPr>
        <w:t>2</w:t>
      </w:r>
      <w:r w:rsidRPr="0089081B">
        <w:rPr>
          <w:rFonts w:cstheme="minorHAnsi"/>
          <w:szCs w:val="24"/>
        </w:rPr>
        <w:t>) as a function of surface position and tidal zone.</w:t>
      </w:r>
      <w:r>
        <w:rPr>
          <w:rFonts w:cstheme="minorHAnsi"/>
          <w:szCs w:val="24"/>
        </w:rPr>
        <w:t xml:space="preserve"> </w:t>
      </w:r>
      <w:r w:rsidRPr="0089081B">
        <w:rPr>
          <w:rFonts w:cstheme="minorHAnsi"/>
          <w:szCs w:val="24"/>
        </w:rPr>
        <w:t>A two-factor ANOVA with replication show</w:t>
      </w:r>
      <w:r w:rsidR="007F3D68">
        <w:rPr>
          <w:rFonts w:cstheme="minorHAnsi"/>
          <w:szCs w:val="24"/>
        </w:rPr>
        <w:t>s</w:t>
      </w:r>
      <w:r w:rsidRPr="0089081B">
        <w:rPr>
          <w:rFonts w:cstheme="minorHAnsi"/>
          <w:szCs w:val="24"/>
        </w:rPr>
        <w:t xml:space="preserve"> significant main effects of surface position (</w:t>
      </w:r>
      <w:r w:rsidRPr="0089081B">
        <w:rPr>
          <w:rFonts w:cstheme="minorHAnsi"/>
          <w:i/>
          <w:szCs w:val="24"/>
        </w:rPr>
        <w:t>F</w:t>
      </w:r>
      <w:r w:rsidRPr="0089081B">
        <w:rPr>
          <w:rFonts w:cstheme="minorHAnsi"/>
          <w:szCs w:val="24"/>
        </w:rPr>
        <w:t>=</w:t>
      </w:r>
      <w:r>
        <w:rPr>
          <w:rFonts w:cstheme="minorHAnsi"/>
          <w:szCs w:val="24"/>
        </w:rPr>
        <w:t>34.29</w:t>
      </w:r>
      <w:r w:rsidRPr="0089081B">
        <w:rPr>
          <w:rFonts w:cstheme="minorHAnsi"/>
          <w:szCs w:val="24"/>
        </w:rPr>
        <w:t>;</w:t>
      </w:r>
      <w:r>
        <w:rPr>
          <w:rFonts w:cstheme="minorHAnsi"/>
          <w:szCs w:val="24"/>
        </w:rPr>
        <w:t xml:space="preserve"> </w:t>
      </w:r>
      <w:r w:rsidRPr="0089081B">
        <w:rPr>
          <w:rFonts w:cstheme="minorHAnsi"/>
          <w:i/>
          <w:szCs w:val="24"/>
        </w:rPr>
        <w:t>p</w:t>
      </w:r>
      <w:r>
        <w:rPr>
          <w:rFonts w:cstheme="minorHAnsi"/>
          <w:szCs w:val="24"/>
        </w:rPr>
        <w:t>&lt;.001</w:t>
      </w:r>
      <w:r w:rsidRPr="0089081B">
        <w:rPr>
          <w:rFonts w:cstheme="minorHAnsi"/>
          <w:szCs w:val="24"/>
        </w:rPr>
        <w:t>) and tidal zone (</w:t>
      </w:r>
      <w:r w:rsidRPr="0089081B">
        <w:rPr>
          <w:rFonts w:cstheme="minorHAnsi"/>
          <w:i/>
          <w:szCs w:val="24"/>
        </w:rPr>
        <w:t>F</w:t>
      </w:r>
      <w:r w:rsidRPr="0089081B">
        <w:rPr>
          <w:rFonts w:cstheme="minorHAnsi"/>
          <w:szCs w:val="24"/>
        </w:rPr>
        <w:t>=</w:t>
      </w:r>
      <w:r>
        <w:rPr>
          <w:rFonts w:cstheme="minorHAnsi"/>
          <w:szCs w:val="24"/>
        </w:rPr>
        <w:t>6.9</w:t>
      </w:r>
      <w:r w:rsidRPr="0089081B">
        <w:rPr>
          <w:rFonts w:cstheme="minorHAnsi"/>
          <w:szCs w:val="24"/>
        </w:rPr>
        <w:t>;</w:t>
      </w:r>
      <w:r>
        <w:rPr>
          <w:rFonts w:cstheme="minorHAnsi"/>
          <w:szCs w:val="24"/>
        </w:rPr>
        <w:t xml:space="preserve"> </w:t>
      </w:r>
      <w:r w:rsidRPr="0089081B">
        <w:rPr>
          <w:rFonts w:cstheme="minorHAnsi"/>
          <w:i/>
          <w:szCs w:val="24"/>
        </w:rPr>
        <w:t>p</w:t>
      </w:r>
      <w:r w:rsidRPr="0089081B">
        <w:rPr>
          <w:rFonts w:cstheme="minorHAnsi"/>
          <w:szCs w:val="24"/>
        </w:rPr>
        <w:t>=</w:t>
      </w:r>
      <w:r>
        <w:rPr>
          <w:rFonts w:cstheme="minorHAnsi"/>
          <w:szCs w:val="24"/>
        </w:rPr>
        <w:t>.003</w:t>
      </w:r>
      <w:r w:rsidRPr="0089081B">
        <w:rPr>
          <w:rFonts w:cstheme="minorHAnsi"/>
          <w:szCs w:val="24"/>
        </w:rPr>
        <w:t>), and a significant two-way interaction between the two factors (</w:t>
      </w:r>
      <w:r w:rsidRPr="0089081B">
        <w:rPr>
          <w:rFonts w:cstheme="minorHAnsi"/>
          <w:i/>
          <w:szCs w:val="24"/>
        </w:rPr>
        <w:t>F</w:t>
      </w:r>
      <w:r w:rsidRPr="0089081B">
        <w:rPr>
          <w:rFonts w:cstheme="minorHAnsi"/>
          <w:szCs w:val="24"/>
        </w:rPr>
        <w:t>=</w:t>
      </w:r>
      <w:r>
        <w:rPr>
          <w:rFonts w:cstheme="minorHAnsi"/>
          <w:szCs w:val="24"/>
        </w:rPr>
        <w:t>5.76</w:t>
      </w:r>
      <w:r w:rsidRPr="0089081B">
        <w:rPr>
          <w:rFonts w:cstheme="minorHAnsi"/>
          <w:szCs w:val="24"/>
        </w:rPr>
        <w:t>;</w:t>
      </w:r>
      <w:r>
        <w:rPr>
          <w:rFonts w:cstheme="minorHAnsi"/>
          <w:szCs w:val="24"/>
        </w:rPr>
        <w:t xml:space="preserve"> </w:t>
      </w:r>
      <w:r w:rsidRPr="0089081B">
        <w:rPr>
          <w:rFonts w:cstheme="minorHAnsi"/>
          <w:i/>
          <w:szCs w:val="24"/>
        </w:rPr>
        <w:t>p</w:t>
      </w:r>
      <w:r w:rsidRPr="0089081B">
        <w:rPr>
          <w:rFonts w:cstheme="minorHAnsi"/>
          <w:szCs w:val="24"/>
        </w:rPr>
        <w:t>=</w:t>
      </w:r>
      <w:r>
        <w:rPr>
          <w:rFonts w:cstheme="minorHAnsi"/>
          <w:szCs w:val="24"/>
        </w:rPr>
        <w:t>.006</w:t>
      </w:r>
      <w:r w:rsidRPr="0089081B">
        <w:rPr>
          <w:rFonts w:cstheme="minorHAnsi"/>
          <w:szCs w:val="24"/>
        </w:rPr>
        <w:t xml:space="preserve">). </w:t>
      </w:r>
    </w:p>
    <w:p w:rsidR="00C22BB2" w:rsidRPr="0089081B" w:rsidRDefault="00C22BB2" w:rsidP="00C22BB2">
      <w:pPr>
        <w:spacing w:before="120"/>
        <w:rPr>
          <w:rFonts w:cstheme="minorHAnsi"/>
          <w:szCs w:val="24"/>
        </w:rPr>
      </w:pPr>
      <w:r w:rsidRPr="0089081B">
        <w:rPr>
          <w:rFonts w:cstheme="minorHAnsi"/>
          <w:szCs w:val="24"/>
        </w:rPr>
        <w:t xml:space="preserve">The effect of tidal zone is as observed in the </w:t>
      </w:r>
      <w:r w:rsidR="007F3D68">
        <w:rPr>
          <w:rFonts w:cstheme="minorHAnsi"/>
          <w:szCs w:val="24"/>
        </w:rPr>
        <w:t>combined</w:t>
      </w:r>
      <w:r w:rsidRPr="0089081B">
        <w:rPr>
          <w:rFonts w:cstheme="minorHAnsi"/>
          <w:szCs w:val="24"/>
        </w:rPr>
        <w:t xml:space="preserve"> analyses -- abundance is higher</w:t>
      </w:r>
      <w:r w:rsidR="007F3D68">
        <w:rPr>
          <w:rFonts w:cstheme="minorHAnsi"/>
          <w:szCs w:val="24"/>
        </w:rPr>
        <w:t xml:space="preserve"> in the </w:t>
      </w:r>
      <w:proofErr w:type="gramStart"/>
      <w:r w:rsidR="007F3D68">
        <w:rPr>
          <w:rFonts w:cstheme="minorHAnsi"/>
          <w:szCs w:val="24"/>
        </w:rPr>
        <w:t>Mid</w:t>
      </w:r>
      <w:proofErr w:type="gramEnd"/>
      <w:r w:rsidR="007F3D68">
        <w:rPr>
          <w:rFonts w:cstheme="minorHAnsi"/>
          <w:szCs w:val="24"/>
        </w:rPr>
        <w:t xml:space="preserve"> and L</w:t>
      </w:r>
      <w:r w:rsidRPr="0089081B">
        <w:rPr>
          <w:rFonts w:cstheme="minorHAnsi"/>
          <w:szCs w:val="24"/>
        </w:rPr>
        <w:t xml:space="preserve">ow tidal zones </w:t>
      </w:r>
      <w:r w:rsidR="007F3D68">
        <w:rPr>
          <w:rFonts w:cstheme="minorHAnsi"/>
          <w:szCs w:val="24"/>
        </w:rPr>
        <w:t>than in the H</w:t>
      </w:r>
      <w:r w:rsidRPr="0089081B">
        <w:rPr>
          <w:rFonts w:cstheme="minorHAnsi"/>
          <w:szCs w:val="24"/>
        </w:rPr>
        <w:t xml:space="preserve">igh tidal zone. </w:t>
      </w:r>
    </w:p>
    <w:p w:rsidR="00C22BB2" w:rsidRPr="0089081B" w:rsidRDefault="00C22BB2" w:rsidP="00C22BB2">
      <w:pPr>
        <w:spacing w:before="120"/>
        <w:rPr>
          <w:rFonts w:cstheme="minorHAnsi"/>
          <w:szCs w:val="24"/>
        </w:rPr>
      </w:pPr>
      <w:r w:rsidRPr="0089081B">
        <w:rPr>
          <w:rFonts w:cstheme="minorHAnsi"/>
          <w:szCs w:val="24"/>
        </w:rPr>
        <w:t xml:space="preserve">Abundance is higher at the surface than in the subsurface. This is as expected, given that </w:t>
      </w:r>
      <w:r w:rsidRPr="0089081B">
        <w:rPr>
          <w:rFonts w:cstheme="minorHAnsi"/>
          <w:i/>
          <w:szCs w:val="24"/>
        </w:rPr>
        <w:t xml:space="preserve">A. stutchburyi </w:t>
      </w:r>
      <w:r w:rsidRPr="0089081B">
        <w:rPr>
          <w:rFonts w:cstheme="minorHAnsi"/>
          <w:szCs w:val="24"/>
        </w:rPr>
        <w:t>is a burrowing suspension feeder. To feed successfully, these cockles must position themselves deeply enough in the sand to remain stable and avoid predation, but close enough to the surface that they are able to extend their feeding siphons into the water column.</w:t>
      </w:r>
    </w:p>
    <w:p w:rsidR="00C22BB2" w:rsidRDefault="00C22BB2" w:rsidP="00117D34">
      <w:pPr>
        <w:spacing w:before="120"/>
        <w:jc w:val="center"/>
        <w:rPr>
          <w:rFonts w:cstheme="minorHAnsi"/>
          <w:b/>
          <w:sz w:val="18"/>
          <w:szCs w:val="20"/>
        </w:rPr>
      </w:pPr>
      <w:r w:rsidRPr="00C22BB2">
        <w:rPr>
          <w:rFonts w:cstheme="minorHAnsi"/>
          <w:b/>
          <w:noProof/>
          <w:sz w:val="18"/>
          <w:szCs w:val="20"/>
          <w:lang w:eastAsia="en-NZ"/>
        </w:rPr>
        <w:drawing>
          <wp:inline distT="0" distB="0" distL="0" distR="0">
            <wp:extent cx="4957548" cy="324000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957548" cy="3240000"/>
                    </a:xfrm>
                    <a:prstGeom prst="rect">
                      <a:avLst/>
                    </a:prstGeom>
                    <a:noFill/>
                  </pic:spPr>
                </pic:pic>
              </a:graphicData>
            </a:graphic>
          </wp:inline>
        </w:drawing>
      </w:r>
    </w:p>
    <w:p w:rsidR="00C22BB2" w:rsidRDefault="00C22BB2" w:rsidP="00C22BB2">
      <w:pPr>
        <w:spacing w:before="120"/>
        <w:rPr>
          <w:rFonts w:cstheme="minorHAnsi"/>
          <w:b/>
          <w:sz w:val="18"/>
          <w:szCs w:val="18"/>
        </w:rPr>
      </w:pPr>
      <w:r w:rsidRPr="0089081B">
        <w:rPr>
          <w:rFonts w:cstheme="minorHAnsi"/>
          <w:b/>
          <w:sz w:val="18"/>
          <w:szCs w:val="18"/>
        </w:rPr>
        <w:t xml:space="preserve">Figure </w:t>
      </w:r>
      <w:r w:rsidR="00BA6E94">
        <w:rPr>
          <w:rFonts w:cstheme="minorHAnsi"/>
          <w:b/>
          <w:sz w:val="18"/>
          <w:szCs w:val="18"/>
        </w:rPr>
        <w:t>A3</w:t>
      </w:r>
      <w:r w:rsidRPr="0089081B">
        <w:rPr>
          <w:rFonts w:cstheme="minorHAnsi"/>
          <w:b/>
          <w:sz w:val="18"/>
          <w:szCs w:val="18"/>
        </w:rPr>
        <w:t>: Mean abundance by surface region and tidal zone.</w:t>
      </w:r>
      <w:r w:rsidR="00932233">
        <w:rPr>
          <w:rFonts w:cstheme="minorHAnsi"/>
          <w:b/>
          <w:sz w:val="18"/>
          <w:szCs w:val="18"/>
        </w:rPr>
        <w:t xml:space="preserve"> The two main effects and interaction are all significant (</w:t>
      </w:r>
      <w:r w:rsidR="00932233">
        <w:rPr>
          <w:rFonts w:cstheme="minorHAnsi"/>
          <w:b/>
          <w:i/>
          <w:sz w:val="18"/>
          <w:szCs w:val="18"/>
        </w:rPr>
        <w:t xml:space="preserve">p &lt; </w:t>
      </w:r>
      <w:r w:rsidR="00932233" w:rsidRPr="00932233">
        <w:rPr>
          <w:rFonts w:cstheme="minorHAnsi"/>
          <w:b/>
          <w:sz w:val="18"/>
          <w:szCs w:val="18"/>
        </w:rPr>
        <w:t>.01)</w:t>
      </w:r>
    </w:p>
    <w:p w:rsidR="00DD6D65" w:rsidRDefault="00DD6D65" w:rsidP="00DD6D65">
      <w:pPr>
        <w:spacing w:before="120"/>
        <w:rPr>
          <w:rFonts w:cstheme="minorHAnsi"/>
          <w:szCs w:val="24"/>
        </w:rPr>
      </w:pPr>
      <w:r w:rsidRPr="0089081B">
        <w:rPr>
          <w:rFonts w:cstheme="minorHAnsi"/>
          <w:b/>
          <w:szCs w:val="24"/>
        </w:rPr>
        <w:t>Surface Region and Size:</w:t>
      </w:r>
      <w:r w:rsidRPr="0089081B">
        <w:rPr>
          <w:rFonts w:cstheme="minorHAnsi"/>
          <w:szCs w:val="24"/>
        </w:rPr>
        <w:t xml:space="preserve"> As noted above, cockles cannot feed if they position themselves where their feeding siphons cannot reach the substrate surface. One might expect, therefore, that cockles in the subsurface will be, in general, among the larger specimens. This pattern does not, however, appear in our data. Mean cockle sizes are essentially the same for the surface and subsurface regions (</w:t>
      </w:r>
      <w:proofErr w:type="spellStart"/>
      <w:r w:rsidRPr="0089081B">
        <w:rPr>
          <w:rFonts w:cstheme="minorHAnsi"/>
          <w:bCs/>
          <w:i/>
          <w:szCs w:val="24"/>
        </w:rPr>
        <w:t>x̄</w:t>
      </w:r>
      <w:r w:rsidRPr="0089081B">
        <w:rPr>
          <w:rFonts w:cstheme="minorHAnsi"/>
          <w:bCs/>
          <w:i/>
          <w:szCs w:val="24"/>
          <w:vertAlign w:val="subscript"/>
        </w:rPr>
        <w:t>surface</w:t>
      </w:r>
      <w:proofErr w:type="spellEnd"/>
      <w:r w:rsidRPr="0089081B">
        <w:rPr>
          <w:rFonts w:cstheme="minorHAnsi"/>
          <w:bCs/>
          <w:szCs w:val="24"/>
        </w:rPr>
        <w:t xml:space="preserve"> = 23.72, s = 8.84</w:t>
      </w:r>
      <w:proofErr w:type="gramStart"/>
      <w:r w:rsidRPr="0089081B">
        <w:rPr>
          <w:rFonts w:cstheme="minorHAnsi"/>
          <w:bCs/>
          <w:szCs w:val="24"/>
        </w:rPr>
        <w:t xml:space="preserve">; </w:t>
      </w:r>
      <w:r w:rsidRPr="0089081B">
        <w:rPr>
          <w:rFonts w:cstheme="minorHAnsi"/>
          <w:b/>
          <w:bCs/>
          <w:szCs w:val="24"/>
        </w:rPr>
        <w:t xml:space="preserve"> </w:t>
      </w:r>
      <w:proofErr w:type="spellStart"/>
      <w:r w:rsidRPr="0089081B">
        <w:rPr>
          <w:rFonts w:cstheme="minorHAnsi"/>
          <w:bCs/>
          <w:i/>
          <w:szCs w:val="24"/>
        </w:rPr>
        <w:t>x</w:t>
      </w:r>
      <w:proofErr w:type="gramEnd"/>
      <w:r w:rsidRPr="0089081B">
        <w:rPr>
          <w:rFonts w:cstheme="minorHAnsi"/>
          <w:bCs/>
          <w:i/>
          <w:szCs w:val="24"/>
        </w:rPr>
        <w:t>̄</w:t>
      </w:r>
      <w:r w:rsidRPr="0089081B">
        <w:rPr>
          <w:rFonts w:cstheme="minorHAnsi"/>
          <w:bCs/>
          <w:i/>
          <w:szCs w:val="24"/>
          <w:vertAlign w:val="subscript"/>
        </w:rPr>
        <w:t>subsurface</w:t>
      </w:r>
      <w:proofErr w:type="spellEnd"/>
      <w:r w:rsidRPr="0089081B">
        <w:rPr>
          <w:rFonts w:cstheme="minorHAnsi"/>
          <w:bCs/>
          <w:szCs w:val="24"/>
        </w:rPr>
        <w:t xml:space="preserve"> = 23.63, s= 8.54; ns by t-test, </w:t>
      </w:r>
      <w:r w:rsidRPr="0089081B">
        <w:rPr>
          <w:rFonts w:cstheme="minorHAnsi"/>
          <w:bCs/>
          <w:i/>
          <w:szCs w:val="24"/>
        </w:rPr>
        <w:t>p</w:t>
      </w:r>
      <w:r w:rsidRPr="0089081B">
        <w:rPr>
          <w:rFonts w:cstheme="minorHAnsi"/>
          <w:bCs/>
          <w:szCs w:val="24"/>
        </w:rPr>
        <w:t>=.794). The general distributions of size within the regions are also very similar, allowing for the overall lower density in the subsurface region.</w:t>
      </w:r>
      <w:r w:rsidRPr="0089081B">
        <w:rPr>
          <w:rFonts w:cstheme="minorHAnsi"/>
          <w:b/>
          <w:bCs/>
          <w:szCs w:val="24"/>
        </w:rPr>
        <w:t xml:space="preserve"> </w:t>
      </w:r>
      <w:r w:rsidRPr="0089081B">
        <w:rPr>
          <w:rFonts w:cstheme="minorHAnsi"/>
          <w:szCs w:val="24"/>
        </w:rPr>
        <w:t xml:space="preserve">Figure </w:t>
      </w:r>
      <w:r w:rsidR="00481705">
        <w:rPr>
          <w:rFonts w:cstheme="minorHAnsi"/>
          <w:szCs w:val="24"/>
        </w:rPr>
        <w:t>A4</w:t>
      </w:r>
      <w:r w:rsidRPr="0089081B">
        <w:rPr>
          <w:rFonts w:cstheme="minorHAnsi"/>
          <w:szCs w:val="24"/>
        </w:rPr>
        <w:t xml:space="preserve"> shows the distributions of cockles, by size, for the surface and subsurface regions. Both regions show approximately the same bimodal shape, with modes at 10mm and 26mm. As cockles less then 20mm in size will be unable to feed when positioned in the subsurface as defined (because their siphons cannot extend into the water column), there is no clear </w:t>
      </w:r>
      <w:r w:rsidRPr="0089081B">
        <w:rPr>
          <w:rFonts w:cstheme="minorHAnsi"/>
          <w:szCs w:val="24"/>
        </w:rPr>
        <w:lastRenderedPageBreak/>
        <w:t>adaptive reason for these small cockles to intentionally position themselves in the subsurface region. One concludes, therefore, that the subsurface region may be entered only inadvertently, and that whatever events cause this movement occur fairly uniformly across the full cockle population.</w:t>
      </w:r>
    </w:p>
    <w:p w:rsidR="00DD6D65" w:rsidRDefault="00DD6D65" w:rsidP="00117D34">
      <w:pPr>
        <w:spacing w:before="120"/>
        <w:jc w:val="center"/>
        <w:rPr>
          <w:rFonts w:cstheme="minorHAnsi"/>
          <w:szCs w:val="24"/>
        </w:rPr>
      </w:pPr>
      <w:r w:rsidRPr="00DD6D65">
        <w:rPr>
          <w:rFonts w:cstheme="minorHAnsi"/>
          <w:noProof/>
          <w:szCs w:val="24"/>
          <w:lang w:eastAsia="en-NZ"/>
        </w:rPr>
        <w:drawing>
          <wp:inline distT="0" distB="0" distL="0" distR="0">
            <wp:extent cx="4957548" cy="3240000"/>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957548" cy="3240000"/>
                    </a:xfrm>
                    <a:prstGeom prst="rect">
                      <a:avLst/>
                    </a:prstGeom>
                    <a:noFill/>
                  </pic:spPr>
                </pic:pic>
              </a:graphicData>
            </a:graphic>
          </wp:inline>
        </w:drawing>
      </w:r>
    </w:p>
    <w:p w:rsidR="002A7E6E" w:rsidRPr="00155C1E" w:rsidRDefault="00DD6D65" w:rsidP="00DD6D65">
      <w:pPr>
        <w:spacing w:before="120"/>
        <w:rPr>
          <w:rFonts w:cstheme="minorHAnsi"/>
          <w:b/>
          <w:sz w:val="20"/>
          <w:szCs w:val="18"/>
        </w:rPr>
      </w:pPr>
      <w:r w:rsidRPr="00155C1E">
        <w:rPr>
          <w:rFonts w:cstheme="minorHAnsi"/>
          <w:b/>
          <w:sz w:val="20"/>
          <w:szCs w:val="18"/>
        </w:rPr>
        <w:t xml:space="preserve">Figure </w:t>
      </w:r>
      <w:r w:rsidR="00E14C73" w:rsidRPr="00155C1E">
        <w:rPr>
          <w:rFonts w:cstheme="minorHAnsi"/>
          <w:b/>
          <w:sz w:val="20"/>
          <w:szCs w:val="18"/>
        </w:rPr>
        <w:t>A4</w:t>
      </w:r>
      <w:r w:rsidRPr="00155C1E">
        <w:rPr>
          <w:rFonts w:cstheme="minorHAnsi"/>
          <w:b/>
          <w:sz w:val="20"/>
          <w:szCs w:val="18"/>
        </w:rPr>
        <w:t>: Frequency distribution of shell size for surface and subsurface regions</w:t>
      </w:r>
    </w:p>
    <w:p w:rsidR="002A7E6E" w:rsidRDefault="002A7E6E">
      <w:pPr>
        <w:rPr>
          <w:rFonts w:cstheme="minorHAnsi"/>
          <w:b/>
          <w:sz w:val="18"/>
          <w:szCs w:val="18"/>
        </w:rPr>
      </w:pPr>
      <w:r>
        <w:rPr>
          <w:rFonts w:cstheme="minorHAnsi"/>
          <w:b/>
          <w:sz w:val="18"/>
          <w:szCs w:val="18"/>
        </w:rPr>
        <w:br w:type="page"/>
      </w:r>
    </w:p>
    <w:p w:rsidR="00DD6D65" w:rsidRDefault="002A7E6E" w:rsidP="00DD6D65">
      <w:pPr>
        <w:spacing w:before="120"/>
        <w:rPr>
          <w:rFonts w:cstheme="minorHAnsi"/>
          <w:b/>
          <w:szCs w:val="24"/>
        </w:rPr>
      </w:pPr>
      <w:r>
        <w:rPr>
          <w:rFonts w:cstheme="minorHAnsi"/>
          <w:b/>
          <w:szCs w:val="24"/>
        </w:rPr>
        <w:lastRenderedPageBreak/>
        <w:t>Feeding Rates</w:t>
      </w:r>
      <w:r w:rsidRPr="0089081B">
        <w:rPr>
          <w:rFonts w:cstheme="minorHAnsi"/>
          <w:b/>
          <w:szCs w:val="24"/>
        </w:rPr>
        <w:t xml:space="preserve">: </w:t>
      </w:r>
    </w:p>
    <w:p w:rsidR="002A7E6E" w:rsidRDefault="002A7E6E" w:rsidP="00AE55D1">
      <w:pPr>
        <w:spacing w:before="120"/>
        <w:jc w:val="center"/>
        <w:rPr>
          <w:rFonts w:cstheme="minorHAnsi"/>
          <w:b/>
          <w:sz w:val="18"/>
          <w:szCs w:val="18"/>
        </w:rPr>
      </w:pPr>
      <w:r w:rsidRPr="002A7E6E">
        <w:rPr>
          <w:rFonts w:cstheme="minorHAnsi"/>
          <w:b/>
          <w:noProof/>
          <w:szCs w:val="24"/>
          <w:lang w:eastAsia="en-NZ"/>
        </w:rPr>
        <w:drawing>
          <wp:inline distT="0" distB="0" distL="0" distR="0">
            <wp:extent cx="2986476" cy="2160000"/>
            <wp:effectExtent l="19050" t="0" r="4374"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86476" cy="2160000"/>
                    </a:xfrm>
                    <a:prstGeom prst="rect">
                      <a:avLst/>
                    </a:prstGeom>
                    <a:noFill/>
                  </pic:spPr>
                </pic:pic>
              </a:graphicData>
            </a:graphic>
          </wp:inline>
        </w:drawing>
      </w:r>
    </w:p>
    <w:p w:rsidR="00291B3E" w:rsidRDefault="002A7E6E" w:rsidP="00291B3E">
      <w:pPr>
        <w:ind w:left="360"/>
        <w:rPr>
          <w:rFonts w:cstheme="minorHAnsi"/>
          <w:b/>
          <w:sz w:val="20"/>
          <w:szCs w:val="20"/>
        </w:rPr>
      </w:pPr>
      <w:r w:rsidRPr="00D50698">
        <w:rPr>
          <w:rFonts w:cstheme="minorHAnsi"/>
          <w:b/>
          <w:sz w:val="20"/>
          <w:szCs w:val="20"/>
        </w:rPr>
        <w:t xml:space="preserve">Figure </w:t>
      </w:r>
      <w:r>
        <w:rPr>
          <w:rFonts w:cstheme="minorHAnsi"/>
          <w:b/>
          <w:sz w:val="20"/>
          <w:szCs w:val="20"/>
        </w:rPr>
        <w:t>A5</w:t>
      </w:r>
      <w:r w:rsidRPr="00D50698">
        <w:rPr>
          <w:rFonts w:cstheme="minorHAnsi"/>
          <w:b/>
          <w:sz w:val="20"/>
          <w:szCs w:val="20"/>
        </w:rPr>
        <w:t xml:space="preserve">: Mean cockle feeding rate by tidal zone. Units are </w:t>
      </w:r>
      <w:proofErr w:type="spellStart"/>
      <w:r w:rsidRPr="00D50698">
        <w:rPr>
          <w:rFonts w:cstheme="minorHAnsi"/>
          <w:b/>
          <w:sz w:val="20"/>
          <w:szCs w:val="20"/>
        </w:rPr>
        <w:t>g</w:t>
      </w:r>
      <w:r w:rsidRPr="00D50698">
        <w:rPr>
          <w:rFonts w:cstheme="minorHAnsi"/>
          <w:b/>
          <w:sz w:val="20"/>
          <w:szCs w:val="20"/>
          <w:vertAlign w:val="subscript"/>
        </w:rPr>
        <w:t>Carbon</w:t>
      </w:r>
      <w:proofErr w:type="spellEnd"/>
      <w:r w:rsidRPr="00D50698">
        <w:rPr>
          <w:rFonts w:cstheme="minorHAnsi"/>
          <w:b/>
          <w:sz w:val="20"/>
          <w:szCs w:val="20"/>
        </w:rPr>
        <w:t>/L/h/</w:t>
      </w:r>
      <w:proofErr w:type="spellStart"/>
      <w:r w:rsidRPr="00D50698">
        <w:rPr>
          <w:rFonts w:cstheme="minorHAnsi"/>
          <w:b/>
          <w:sz w:val="20"/>
          <w:szCs w:val="20"/>
        </w:rPr>
        <w:t>g</w:t>
      </w:r>
      <w:r w:rsidRPr="00D50698">
        <w:rPr>
          <w:rFonts w:cstheme="minorHAnsi"/>
          <w:b/>
          <w:sz w:val="20"/>
          <w:szCs w:val="20"/>
          <w:vertAlign w:val="subscript"/>
        </w:rPr>
        <w:t>cockle</w:t>
      </w:r>
      <w:proofErr w:type="spellEnd"/>
      <w:r w:rsidRPr="00D50698">
        <w:rPr>
          <w:rFonts w:cstheme="minorHAnsi"/>
          <w:b/>
          <w:sz w:val="20"/>
          <w:szCs w:val="20"/>
          <w:vertAlign w:val="subscript"/>
        </w:rPr>
        <w:t xml:space="preserve"> weight. </w:t>
      </w:r>
      <w:r w:rsidRPr="00D50698">
        <w:rPr>
          <w:rFonts w:cstheme="minorHAnsi"/>
          <w:b/>
          <w:sz w:val="20"/>
          <w:szCs w:val="20"/>
        </w:rPr>
        <w:t xml:space="preserve">Error bars are </w:t>
      </w:r>
      <w:r>
        <w:rPr>
          <w:rFonts w:cstheme="minorHAnsi"/>
          <w:b/>
          <w:sz w:val="20"/>
          <w:szCs w:val="20"/>
        </w:rPr>
        <w:t xml:space="preserve">+/- </w:t>
      </w:r>
      <w:r w:rsidRPr="00D50698">
        <w:rPr>
          <w:rFonts w:cstheme="minorHAnsi"/>
          <w:b/>
          <w:sz w:val="20"/>
          <w:szCs w:val="20"/>
        </w:rPr>
        <w:t xml:space="preserve">one </w:t>
      </w:r>
      <w:r>
        <w:rPr>
          <w:rFonts w:cstheme="minorHAnsi"/>
          <w:b/>
          <w:sz w:val="20"/>
          <w:szCs w:val="20"/>
        </w:rPr>
        <w:t>standard error of the mean</w:t>
      </w:r>
      <w:r w:rsidRPr="00D50698">
        <w:rPr>
          <w:rFonts w:cstheme="minorHAnsi"/>
          <w:b/>
          <w:sz w:val="20"/>
          <w:szCs w:val="20"/>
        </w:rPr>
        <w:t>.</w:t>
      </w:r>
      <w:r>
        <w:rPr>
          <w:rFonts w:cstheme="minorHAnsi"/>
          <w:b/>
          <w:sz w:val="20"/>
          <w:szCs w:val="20"/>
        </w:rPr>
        <w:t xml:space="preserve"> The main effect of tidal zone is not significant (</w:t>
      </w:r>
      <w:r w:rsidRPr="002A7E6E">
        <w:rPr>
          <w:rFonts w:cstheme="minorHAnsi"/>
          <w:b/>
          <w:i/>
          <w:sz w:val="20"/>
          <w:szCs w:val="20"/>
        </w:rPr>
        <w:t>F</w:t>
      </w:r>
      <w:r w:rsidRPr="002A7E6E">
        <w:rPr>
          <w:rFonts w:cstheme="minorHAnsi"/>
          <w:b/>
          <w:sz w:val="20"/>
          <w:szCs w:val="20"/>
          <w:vertAlign w:val="subscript"/>
        </w:rPr>
        <w:t>2</w:t>
      </w:r>
      <w:proofErr w:type="gramStart"/>
      <w:r w:rsidRPr="002A7E6E">
        <w:rPr>
          <w:rFonts w:cstheme="minorHAnsi"/>
          <w:b/>
          <w:sz w:val="20"/>
          <w:szCs w:val="20"/>
          <w:vertAlign w:val="subscript"/>
        </w:rPr>
        <w:t>,10</w:t>
      </w:r>
      <w:proofErr w:type="gramEnd"/>
      <w:r w:rsidRPr="002A7E6E">
        <w:rPr>
          <w:rFonts w:cstheme="minorHAnsi"/>
          <w:b/>
          <w:sz w:val="20"/>
          <w:szCs w:val="20"/>
        </w:rPr>
        <w:t xml:space="preserve"> = 2.69; </w:t>
      </w:r>
      <w:r w:rsidRPr="002A7E6E">
        <w:rPr>
          <w:rFonts w:cstheme="minorHAnsi"/>
          <w:b/>
          <w:i/>
          <w:sz w:val="20"/>
          <w:szCs w:val="20"/>
        </w:rPr>
        <w:t>p</w:t>
      </w:r>
      <w:r w:rsidRPr="002A7E6E">
        <w:rPr>
          <w:rFonts w:cstheme="minorHAnsi"/>
          <w:b/>
          <w:sz w:val="20"/>
          <w:szCs w:val="20"/>
        </w:rPr>
        <w:t>=</w:t>
      </w:r>
      <w:r>
        <w:rPr>
          <w:rFonts w:cstheme="minorHAnsi"/>
          <w:b/>
          <w:sz w:val="20"/>
          <w:szCs w:val="20"/>
        </w:rPr>
        <w:t>0</w:t>
      </w:r>
      <w:r w:rsidRPr="002A7E6E">
        <w:rPr>
          <w:rFonts w:cstheme="minorHAnsi"/>
          <w:b/>
          <w:sz w:val="20"/>
          <w:szCs w:val="20"/>
        </w:rPr>
        <w:t>.11</w:t>
      </w:r>
      <w:r>
        <w:rPr>
          <w:rFonts w:cstheme="minorHAnsi"/>
          <w:b/>
          <w:sz w:val="20"/>
          <w:szCs w:val="20"/>
        </w:rPr>
        <w:t>)</w:t>
      </w:r>
    </w:p>
    <w:p w:rsidR="00EB34C0" w:rsidRDefault="00291B3E" w:rsidP="00291B3E">
      <w:pPr>
        <w:rPr>
          <w:rFonts w:cstheme="minorHAnsi"/>
          <w:szCs w:val="24"/>
        </w:rPr>
      </w:pPr>
      <w:r w:rsidRPr="00A26C54">
        <w:rPr>
          <w:rFonts w:cstheme="minorHAnsi"/>
          <w:sz w:val="20"/>
          <w:szCs w:val="24"/>
        </w:rPr>
        <w:t>The apparent trend -- that feeding rates are higher in the mid and low tidal zones than in the high zone, is not significant (</w:t>
      </w:r>
      <w:r w:rsidRPr="00A26C54">
        <w:rPr>
          <w:rFonts w:cstheme="minorHAnsi"/>
          <w:i/>
          <w:sz w:val="20"/>
          <w:szCs w:val="24"/>
        </w:rPr>
        <w:t>F</w:t>
      </w:r>
      <w:r w:rsidRPr="00A26C54">
        <w:rPr>
          <w:rFonts w:cstheme="minorHAnsi"/>
          <w:sz w:val="20"/>
          <w:szCs w:val="24"/>
          <w:vertAlign w:val="subscript"/>
        </w:rPr>
        <w:t>2</w:t>
      </w:r>
      <w:proofErr w:type="gramStart"/>
      <w:r w:rsidRPr="00A26C54">
        <w:rPr>
          <w:rFonts w:cstheme="minorHAnsi"/>
          <w:sz w:val="20"/>
          <w:szCs w:val="24"/>
          <w:vertAlign w:val="subscript"/>
        </w:rPr>
        <w:t>,10</w:t>
      </w:r>
      <w:proofErr w:type="gramEnd"/>
      <w:r w:rsidRPr="00A26C54">
        <w:rPr>
          <w:rFonts w:cstheme="minorHAnsi"/>
          <w:sz w:val="20"/>
          <w:szCs w:val="24"/>
        </w:rPr>
        <w:t xml:space="preserve"> = 2.69; </w:t>
      </w:r>
      <w:r w:rsidRPr="00A26C54">
        <w:rPr>
          <w:rFonts w:cstheme="minorHAnsi"/>
          <w:i/>
          <w:sz w:val="20"/>
          <w:szCs w:val="24"/>
        </w:rPr>
        <w:t>p</w:t>
      </w:r>
      <w:r w:rsidRPr="00A26C54">
        <w:rPr>
          <w:rFonts w:cstheme="minorHAnsi"/>
          <w:sz w:val="20"/>
          <w:szCs w:val="24"/>
        </w:rPr>
        <w:t>=</w:t>
      </w:r>
      <w:r w:rsidR="00475416" w:rsidRPr="00A26C54">
        <w:rPr>
          <w:rFonts w:cstheme="minorHAnsi"/>
          <w:sz w:val="20"/>
          <w:szCs w:val="24"/>
        </w:rPr>
        <w:t>0</w:t>
      </w:r>
      <w:r w:rsidRPr="00A26C54">
        <w:rPr>
          <w:rFonts w:cstheme="minorHAnsi"/>
          <w:sz w:val="20"/>
          <w:szCs w:val="24"/>
        </w:rPr>
        <w:t xml:space="preserve">.11). Because of the very small sample sizes (only 13 values in total), it is worth considering alternative analyses. A primary concern for use of ANOVA on these data is that the normality assumption cannot be verified. Violations of normality can lead to erroneous ANOVA results. Because of the small size of this data set, we can assess the robustness of the ANOVA by using a </w:t>
      </w:r>
      <w:r w:rsidR="004A55DB" w:rsidRPr="00A26C54">
        <w:rPr>
          <w:rFonts w:cstheme="minorHAnsi"/>
          <w:sz w:val="20"/>
          <w:szCs w:val="24"/>
        </w:rPr>
        <w:t>permutation testing</w:t>
      </w:r>
      <w:r w:rsidRPr="00A26C54">
        <w:rPr>
          <w:rFonts w:cstheme="minorHAnsi"/>
          <w:sz w:val="20"/>
          <w:szCs w:val="24"/>
        </w:rPr>
        <w:t xml:space="preserve"> process to generate an estimate of the sampling distribution for F. In this technique, one assumes that the available data points constitute the entire data distribution. A large number of trials are run in which the data points are randomly assigned to conditions (maintaining the group </w:t>
      </w:r>
      <w:r w:rsidRPr="00A26C54">
        <w:rPr>
          <w:rFonts w:cstheme="minorHAnsi"/>
          <w:i/>
          <w:sz w:val="20"/>
          <w:szCs w:val="24"/>
        </w:rPr>
        <w:t>n</w:t>
      </w:r>
      <w:r w:rsidRPr="00A26C54">
        <w:rPr>
          <w:rFonts w:cstheme="minorHAnsi"/>
          <w:sz w:val="20"/>
          <w:szCs w:val="24"/>
        </w:rPr>
        <w:t xml:space="preserve"> of 4, 4, and 5 for High, Mid and Low respectively), and an observed F is computed. The resulting values comprise a sampling distribution of F for these data with H0: </w:t>
      </w:r>
      <w:proofErr w:type="spellStart"/>
      <w:r w:rsidRPr="00A26C54">
        <w:rPr>
          <w:rFonts w:ascii="Arial" w:hAnsi="Arial" w:cs="Arial"/>
          <w:sz w:val="20"/>
          <w:szCs w:val="24"/>
        </w:rPr>
        <w:t>μ</w:t>
      </w:r>
      <w:r w:rsidRPr="00A26C54">
        <w:rPr>
          <w:rFonts w:cstheme="minorHAnsi"/>
          <w:sz w:val="20"/>
          <w:szCs w:val="24"/>
          <w:vertAlign w:val="subscript"/>
        </w:rPr>
        <w:t>High</w:t>
      </w:r>
      <w:proofErr w:type="spellEnd"/>
      <w:r w:rsidRPr="00A26C54">
        <w:rPr>
          <w:rFonts w:cstheme="minorHAnsi"/>
          <w:sz w:val="20"/>
          <w:szCs w:val="24"/>
        </w:rPr>
        <w:t xml:space="preserve"> = </w:t>
      </w:r>
      <w:proofErr w:type="spellStart"/>
      <w:r w:rsidRPr="00A26C54">
        <w:rPr>
          <w:rFonts w:cstheme="minorHAnsi"/>
          <w:sz w:val="20"/>
          <w:szCs w:val="24"/>
        </w:rPr>
        <w:t>μ</w:t>
      </w:r>
      <w:r w:rsidRPr="00A26C54">
        <w:rPr>
          <w:rFonts w:cstheme="minorHAnsi"/>
          <w:sz w:val="20"/>
          <w:szCs w:val="24"/>
          <w:vertAlign w:val="subscript"/>
        </w:rPr>
        <w:t>Mid</w:t>
      </w:r>
      <w:proofErr w:type="spellEnd"/>
      <w:r w:rsidRPr="00A26C54">
        <w:rPr>
          <w:rFonts w:cstheme="minorHAnsi"/>
          <w:sz w:val="20"/>
          <w:szCs w:val="24"/>
        </w:rPr>
        <w:t xml:space="preserve"> = </w:t>
      </w:r>
      <w:proofErr w:type="spellStart"/>
      <w:r w:rsidRPr="00A26C54">
        <w:rPr>
          <w:rFonts w:cstheme="minorHAnsi"/>
          <w:sz w:val="20"/>
          <w:szCs w:val="24"/>
        </w:rPr>
        <w:t>μ</w:t>
      </w:r>
      <w:r w:rsidRPr="00A26C54">
        <w:rPr>
          <w:rFonts w:cstheme="minorHAnsi"/>
          <w:sz w:val="20"/>
          <w:szCs w:val="24"/>
          <w:vertAlign w:val="subscript"/>
        </w:rPr>
        <w:t>Low</w:t>
      </w:r>
      <w:proofErr w:type="spellEnd"/>
      <w:r w:rsidRPr="00A26C54">
        <w:rPr>
          <w:rFonts w:cstheme="minorHAnsi"/>
          <w:sz w:val="20"/>
          <w:szCs w:val="24"/>
        </w:rPr>
        <w:t>. One can then use the value of the distribution which cuts off the upper α proportion as an adjusted critical value for F. The analysis as described was performed in R 3.4.4 using 10000 random permutations of the 13 observed data points. The generated sampling distri</w:t>
      </w:r>
      <w:r w:rsidR="00EB34C0" w:rsidRPr="00A26C54">
        <w:rPr>
          <w:rFonts w:cstheme="minorHAnsi"/>
          <w:sz w:val="20"/>
          <w:szCs w:val="24"/>
        </w:rPr>
        <w:t>bution of F is shown in Figure A6</w:t>
      </w:r>
      <w:r w:rsidRPr="00A26C54">
        <w:rPr>
          <w:rFonts w:cstheme="minorHAnsi"/>
          <w:sz w:val="20"/>
          <w:szCs w:val="24"/>
        </w:rPr>
        <w:t>. The value in this distribution which equals or exceed 95% of the scores (i.e. the generated F-critical) is 3.12. Our observed F of 2.69 does not exceed this value (the cumulative frequency of 2.679 is .92), so we again fail to reject H0. We can assume that the original ANOVA is at least moderately robust against violations of normality in the data.</w:t>
      </w:r>
    </w:p>
    <w:p w:rsidR="00291B3E" w:rsidRDefault="00291B3E" w:rsidP="00A26C54">
      <w:pPr>
        <w:ind w:left="360"/>
        <w:jc w:val="center"/>
        <w:rPr>
          <w:rFonts w:cstheme="minorHAnsi"/>
          <w:b/>
          <w:sz w:val="20"/>
          <w:szCs w:val="20"/>
        </w:rPr>
      </w:pPr>
      <w:r w:rsidRPr="00291B3E">
        <w:rPr>
          <w:rFonts w:cstheme="minorHAnsi"/>
          <w:b/>
          <w:noProof/>
          <w:sz w:val="20"/>
          <w:szCs w:val="20"/>
          <w:lang w:eastAsia="en-NZ"/>
        </w:rPr>
        <w:drawing>
          <wp:inline distT="0" distB="0" distL="0" distR="0">
            <wp:extent cx="3199595" cy="2088000"/>
            <wp:effectExtent l="19050" t="0" r="8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99595" cy="2088000"/>
                    </a:xfrm>
                    <a:prstGeom prst="rect">
                      <a:avLst/>
                    </a:prstGeom>
                    <a:noFill/>
                  </pic:spPr>
                </pic:pic>
              </a:graphicData>
            </a:graphic>
          </wp:inline>
        </w:drawing>
      </w:r>
    </w:p>
    <w:p w:rsidR="007B64C8" w:rsidRDefault="00291B3E" w:rsidP="00291B3E">
      <w:pPr>
        <w:ind w:left="360"/>
        <w:rPr>
          <w:rFonts w:cstheme="minorHAnsi"/>
          <w:b/>
          <w:bCs/>
          <w:sz w:val="20"/>
          <w:szCs w:val="20"/>
          <w:lang w:val="en-US"/>
        </w:rPr>
      </w:pPr>
      <w:r w:rsidRPr="00F90E65">
        <w:rPr>
          <w:rFonts w:cstheme="minorHAnsi"/>
          <w:b/>
          <w:sz w:val="20"/>
          <w:szCs w:val="20"/>
        </w:rPr>
        <w:t xml:space="preserve">Figure </w:t>
      </w:r>
      <w:r w:rsidR="00A84291">
        <w:rPr>
          <w:rFonts w:cstheme="minorHAnsi"/>
          <w:b/>
          <w:sz w:val="20"/>
          <w:szCs w:val="20"/>
        </w:rPr>
        <w:t>A6:</w:t>
      </w:r>
      <w:r w:rsidRPr="00F90E65">
        <w:rPr>
          <w:rFonts w:cstheme="minorHAnsi"/>
          <w:b/>
          <w:sz w:val="20"/>
          <w:szCs w:val="20"/>
        </w:rPr>
        <w:t xml:space="preserve"> </w:t>
      </w:r>
      <w:r w:rsidRPr="00F90E65">
        <w:rPr>
          <w:rFonts w:cstheme="minorHAnsi"/>
          <w:b/>
          <w:bCs/>
          <w:sz w:val="20"/>
          <w:szCs w:val="20"/>
          <w:lang w:val="en-US"/>
        </w:rPr>
        <w:t>Permutation Generated Sampling Distribution of F for Cockle Feeding Observed Data</w:t>
      </w:r>
    </w:p>
    <w:p w:rsidR="007B64C8" w:rsidRDefault="007B64C8">
      <w:pPr>
        <w:rPr>
          <w:rFonts w:cstheme="minorHAnsi"/>
          <w:b/>
          <w:bCs/>
          <w:sz w:val="20"/>
          <w:szCs w:val="20"/>
          <w:lang w:val="en-US"/>
        </w:rPr>
      </w:pPr>
      <w:r>
        <w:rPr>
          <w:rFonts w:cstheme="minorHAnsi"/>
          <w:b/>
          <w:bCs/>
          <w:sz w:val="20"/>
          <w:szCs w:val="20"/>
          <w:lang w:val="en-US"/>
        </w:rPr>
        <w:br w:type="page"/>
      </w:r>
    </w:p>
    <w:p w:rsidR="00291B3E" w:rsidRPr="00F90E65" w:rsidRDefault="00291B3E" w:rsidP="00291B3E">
      <w:pPr>
        <w:ind w:left="360"/>
        <w:rPr>
          <w:rFonts w:cstheme="minorHAnsi"/>
          <w:b/>
          <w:sz w:val="20"/>
          <w:szCs w:val="20"/>
        </w:rPr>
      </w:pPr>
    </w:p>
    <w:p w:rsidR="00F55D91" w:rsidRDefault="00F55D91" w:rsidP="00F55D91">
      <w:pPr>
        <w:spacing w:before="120"/>
        <w:rPr>
          <w:rFonts w:cstheme="minorHAnsi"/>
          <w:b/>
          <w:szCs w:val="24"/>
        </w:rPr>
      </w:pPr>
      <w:r>
        <w:rPr>
          <w:rFonts w:cstheme="minorHAnsi"/>
          <w:b/>
          <w:szCs w:val="24"/>
        </w:rPr>
        <w:t>Growth Rate Estimation</w:t>
      </w:r>
      <w:r w:rsidRPr="0089081B">
        <w:rPr>
          <w:rFonts w:cstheme="minorHAnsi"/>
          <w:b/>
          <w:szCs w:val="24"/>
        </w:rPr>
        <w:t xml:space="preserve">: </w:t>
      </w:r>
    </w:p>
    <w:p w:rsidR="00291B3E" w:rsidRDefault="007B64C8" w:rsidP="00291B3E">
      <w:pPr>
        <w:ind w:left="360"/>
        <w:rPr>
          <w:rFonts w:cstheme="minorHAnsi"/>
          <w:b/>
          <w:sz w:val="20"/>
          <w:szCs w:val="20"/>
        </w:rPr>
      </w:pPr>
      <w:r w:rsidRPr="007B64C8">
        <w:rPr>
          <w:rFonts w:cstheme="minorHAnsi"/>
          <w:b/>
          <w:noProof/>
          <w:sz w:val="20"/>
          <w:szCs w:val="20"/>
          <w:lang w:eastAsia="en-NZ"/>
        </w:rPr>
        <w:drawing>
          <wp:inline distT="0" distB="0" distL="0" distR="0">
            <wp:extent cx="2467676" cy="1620000"/>
            <wp:effectExtent l="19050" t="19050" r="27874" b="1830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467676" cy="1620000"/>
                    </a:xfrm>
                    <a:prstGeom prst="rect">
                      <a:avLst/>
                    </a:prstGeom>
                    <a:noFill/>
                    <a:ln>
                      <a:solidFill>
                        <a:schemeClr val="tx1"/>
                      </a:solidFill>
                    </a:ln>
                  </pic:spPr>
                </pic:pic>
              </a:graphicData>
            </a:graphic>
          </wp:inline>
        </w:drawing>
      </w:r>
      <w:r>
        <w:rPr>
          <w:rFonts w:cstheme="minorHAnsi"/>
          <w:b/>
          <w:sz w:val="20"/>
          <w:szCs w:val="20"/>
        </w:rPr>
        <w:t xml:space="preserve">  </w:t>
      </w:r>
      <w:r w:rsidR="00FC77DF" w:rsidRPr="00FC77DF">
        <w:rPr>
          <w:rFonts w:cstheme="minorHAnsi"/>
          <w:b/>
          <w:noProof/>
          <w:sz w:val="20"/>
          <w:szCs w:val="20"/>
          <w:lang w:eastAsia="en-NZ"/>
        </w:rPr>
        <w:drawing>
          <wp:inline distT="0" distB="0" distL="0" distR="0">
            <wp:extent cx="2471577" cy="1620000"/>
            <wp:effectExtent l="19050" t="19050" r="23973" b="1830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471577" cy="1620000"/>
                    </a:xfrm>
                    <a:prstGeom prst="rect">
                      <a:avLst/>
                    </a:prstGeom>
                    <a:noFill/>
                    <a:ln>
                      <a:solidFill>
                        <a:schemeClr val="tx1"/>
                      </a:solidFill>
                    </a:ln>
                  </pic:spPr>
                </pic:pic>
              </a:graphicData>
            </a:graphic>
          </wp:inline>
        </w:drawing>
      </w:r>
      <w:r w:rsidR="00FC77DF">
        <w:rPr>
          <w:rFonts w:cstheme="minorHAnsi"/>
          <w:b/>
          <w:sz w:val="20"/>
          <w:szCs w:val="20"/>
        </w:rPr>
        <w:t xml:space="preserve"> </w:t>
      </w:r>
      <w:r w:rsidR="00FC77DF" w:rsidRPr="00FC77DF">
        <w:rPr>
          <w:rFonts w:cstheme="minorHAnsi"/>
          <w:b/>
          <w:noProof/>
          <w:sz w:val="20"/>
          <w:szCs w:val="20"/>
          <w:lang w:eastAsia="en-NZ"/>
        </w:rPr>
        <w:drawing>
          <wp:inline distT="0" distB="0" distL="0" distR="0">
            <wp:extent cx="2466563" cy="1620000"/>
            <wp:effectExtent l="19050" t="19050" r="9937" b="1830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66563" cy="1620000"/>
                    </a:xfrm>
                    <a:prstGeom prst="rect">
                      <a:avLst/>
                    </a:prstGeom>
                    <a:noFill/>
                    <a:ln>
                      <a:solidFill>
                        <a:schemeClr val="tx1"/>
                      </a:solidFill>
                    </a:ln>
                  </pic:spPr>
                </pic:pic>
              </a:graphicData>
            </a:graphic>
          </wp:inline>
        </w:drawing>
      </w:r>
    </w:p>
    <w:p w:rsidR="00D71936" w:rsidRPr="0089081B" w:rsidRDefault="007B64C8" w:rsidP="00754A34">
      <w:pPr>
        <w:rPr>
          <w:rFonts w:cstheme="minorHAnsi"/>
          <w:b/>
          <w:sz w:val="18"/>
          <w:szCs w:val="18"/>
        </w:rPr>
      </w:pPr>
      <w:r>
        <w:rPr>
          <w:rFonts w:cstheme="minorHAnsi"/>
          <w:b/>
          <w:sz w:val="20"/>
          <w:szCs w:val="20"/>
        </w:rPr>
        <w:t>Figure A7</w:t>
      </w:r>
      <w:r w:rsidRPr="00E752C8">
        <w:rPr>
          <w:rFonts w:cstheme="minorHAnsi"/>
          <w:b/>
          <w:sz w:val="20"/>
          <w:szCs w:val="20"/>
        </w:rPr>
        <w:t xml:space="preserve">: </w:t>
      </w:r>
      <w:r>
        <w:rPr>
          <w:rFonts w:cstheme="minorHAnsi"/>
          <w:b/>
          <w:sz w:val="20"/>
          <w:szCs w:val="20"/>
        </w:rPr>
        <w:t xml:space="preserve">Linear regressions of </w:t>
      </w:r>
      <m:oMath>
        <m:r>
          <m:rPr>
            <m:sty m:val="bi"/>
          </m:rPr>
          <w:rPr>
            <w:rFonts w:ascii="Cambria Math" w:hAnsi="Cambria Math" w:cstheme="minorHAnsi"/>
            <w:sz w:val="20"/>
            <w:szCs w:val="20"/>
          </w:rPr>
          <m:t>∆L/∆t</m:t>
        </m:r>
      </m:oMath>
      <w:r>
        <w:rPr>
          <w:rFonts w:eastAsiaTheme="minorEastAsia" w:cstheme="minorHAnsi"/>
          <w:b/>
          <w:sz w:val="20"/>
          <w:szCs w:val="20"/>
        </w:rPr>
        <w:t xml:space="preserve"> by </w:t>
      </w:r>
      <w:proofErr w:type="gramStart"/>
      <w:r w:rsidRPr="00E752C8">
        <w:rPr>
          <w:rFonts w:eastAsiaTheme="minorEastAsia" w:cstheme="minorHAnsi"/>
          <w:b/>
          <w:i/>
          <w:sz w:val="20"/>
          <w:szCs w:val="20"/>
        </w:rPr>
        <w:t>L</w:t>
      </w:r>
      <w:r w:rsidRPr="00E752C8">
        <w:rPr>
          <w:rFonts w:eastAsiaTheme="minorEastAsia" w:cstheme="minorHAnsi"/>
          <w:b/>
          <w:i/>
          <w:sz w:val="20"/>
          <w:szCs w:val="20"/>
          <w:vertAlign w:val="subscript"/>
        </w:rPr>
        <w:t>(</w:t>
      </w:r>
      <w:proofErr w:type="gramEnd"/>
      <w:r w:rsidRPr="00E752C8">
        <w:rPr>
          <w:rFonts w:eastAsiaTheme="minorEastAsia" w:cstheme="minorHAnsi"/>
          <w:b/>
          <w:i/>
          <w:sz w:val="20"/>
          <w:szCs w:val="20"/>
          <w:vertAlign w:val="subscript"/>
        </w:rPr>
        <w:t>t)</w:t>
      </w:r>
      <w:r>
        <w:rPr>
          <w:rFonts w:eastAsiaTheme="minorEastAsia" w:cstheme="minorHAnsi"/>
          <w:b/>
          <w:sz w:val="20"/>
          <w:szCs w:val="20"/>
        </w:rPr>
        <w:t xml:space="preserve"> with anchoring data point added at t=0 for each of the three tidal zones.</w:t>
      </w:r>
    </w:p>
    <w:p w:rsidR="00DD6D65" w:rsidRPr="0089081B" w:rsidRDefault="00DD6D65" w:rsidP="00DD6D65">
      <w:pPr>
        <w:spacing w:before="120"/>
        <w:rPr>
          <w:rFonts w:cstheme="minorHAnsi"/>
          <w:szCs w:val="24"/>
        </w:rPr>
      </w:pPr>
    </w:p>
    <w:p w:rsidR="00DD6D65" w:rsidRPr="00932233" w:rsidRDefault="00DD6D65" w:rsidP="00C22BB2">
      <w:pPr>
        <w:spacing w:before="120"/>
        <w:rPr>
          <w:rFonts w:cstheme="minorHAnsi"/>
          <w:b/>
          <w:i/>
          <w:sz w:val="18"/>
          <w:szCs w:val="18"/>
        </w:rPr>
      </w:pPr>
    </w:p>
    <w:p w:rsidR="00C22BB2" w:rsidRPr="008D7C3C" w:rsidRDefault="00C22BB2" w:rsidP="008D7C3C">
      <w:pPr>
        <w:spacing w:before="120"/>
        <w:rPr>
          <w:rFonts w:cstheme="minorHAnsi"/>
          <w:b/>
          <w:sz w:val="18"/>
          <w:szCs w:val="20"/>
        </w:rPr>
      </w:pPr>
    </w:p>
    <w:p w:rsidR="008D7C3C" w:rsidRPr="0089081B" w:rsidRDefault="008D7C3C" w:rsidP="008D7C3C">
      <w:pPr>
        <w:spacing w:before="120"/>
        <w:rPr>
          <w:rFonts w:cstheme="minorHAnsi"/>
          <w:b/>
          <w:sz w:val="18"/>
          <w:szCs w:val="20"/>
        </w:rPr>
      </w:pPr>
    </w:p>
    <w:p w:rsidR="008D7C3C" w:rsidRPr="00FD07CD" w:rsidRDefault="008D7C3C" w:rsidP="00FD07CD">
      <w:pPr>
        <w:rPr>
          <w:b/>
        </w:rPr>
      </w:pPr>
    </w:p>
    <w:p w:rsidR="00FD07CD" w:rsidRDefault="00FD07CD"/>
    <w:p w:rsidR="00603806" w:rsidRDefault="00603806"/>
    <w:p w:rsidR="00603806" w:rsidRDefault="00603806"/>
    <w:p w:rsidR="00603806" w:rsidRDefault="00603806"/>
    <w:p w:rsidR="00603806" w:rsidRDefault="00603806"/>
    <w:p w:rsidR="00603806" w:rsidRDefault="00603806"/>
    <w:p w:rsidR="00603806" w:rsidRDefault="00603806"/>
    <w:p w:rsidR="00603806" w:rsidRDefault="00603806"/>
    <w:sectPr w:rsidR="00603806" w:rsidSect="00E33D7E">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F6C" w:rsidRDefault="00206F6C" w:rsidP="00372B22">
      <w:pPr>
        <w:spacing w:after="0" w:line="240" w:lineRule="auto"/>
      </w:pPr>
      <w:r>
        <w:separator/>
      </w:r>
    </w:p>
  </w:endnote>
  <w:endnote w:type="continuationSeparator" w:id="0">
    <w:p w:rsidR="00206F6C" w:rsidRDefault="00206F6C" w:rsidP="00372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F6C" w:rsidRDefault="00206F6C" w:rsidP="00372B22">
      <w:pPr>
        <w:spacing w:after="0" w:line="240" w:lineRule="auto"/>
      </w:pPr>
      <w:r>
        <w:separator/>
      </w:r>
    </w:p>
  </w:footnote>
  <w:footnote w:type="continuationSeparator" w:id="0">
    <w:p w:rsidR="00206F6C" w:rsidRDefault="00206F6C" w:rsidP="00372B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B22" w:rsidRDefault="00372B22">
    <w:pPr>
      <w:pStyle w:val="Header"/>
    </w:pPr>
    <w:r>
      <w:t>Haden, P.</w:t>
    </w:r>
    <w:r>
      <w:tab/>
    </w:r>
    <w:r>
      <w:tab/>
      <w:t>ECOL111, 2018</w:t>
    </w:r>
  </w:p>
  <w:p w:rsidR="00372B22" w:rsidRDefault="00372B22">
    <w:pPr>
      <w:pStyle w:val="Header"/>
    </w:pPr>
    <w:r>
      <w:t>Additional Figures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footnotePr>
    <w:footnote w:id="-1"/>
    <w:footnote w:id="0"/>
  </w:footnotePr>
  <w:endnotePr>
    <w:endnote w:id="-1"/>
    <w:endnote w:id="0"/>
  </w:endnotePr>
  <w:compat/>
  <w:rsids>
    <w:rsidRoot w:val="00603806"/>
    <w:rsid w:val="00117D34"/>
    <w:rsid w:val="00151902"/>
    <w:rsid w:val="00155C1E"/>
    <w:rsid w:val="001B15AB"/>
    <w:rsid w:val="001F12B8"/>
    <w:rsid w:val="00206F6C"/>
    <w:rsid w:val="00291B3E"/>
    <w:rsid w:val="002A7E6E"/>
    <w:rsid w:val="002F76FD"/>
    <w:rsid w:val="00310BC9"/>
    <w:rsid w:val="00311EFF"/>
    <w:rsid w:val="00372B22"/>
    <w:rsid w:val="003C3F8E"/>
    <w:rsid w:val="00406C59"/>
    <w:rsid w:val="00474525"/>
    <w:rsid w:val="00475416"/>
    <w:rsid w:val="00481705"/>
    <w:rsid w:val="004A55DB"/>
    <w:rsid w:val="005441F8"/>
    <w:rsid w:val="00603806"/>
    <w:rsid w:val="00612600"/>
    <w:rsid w:val="00712325"/>
    <w:rsid w:val="00754A34"/>
    <w:rsid w:val="007B0BCE"/>
    <w:rsid w:val="007B64C8"/>
    <w:rsid w:val="007F3D68"/>
    <w:rsid w:val="008A0CE4"/>
    <w:rsid w:val="008D7C3C"/>
    <w:rsid w:val="00917E68"/>
    <w:rsid w:val="00932233"/>
    <w:rsid w:val="00934663"/>
    <w:rsid w:val="009367C5"/>
    <w:rsid w:val="00A26C54"/>
    <w:rsid w:val="00A84291"/>
    <w:rsid w:val="00AE55D1"/>
    <w:rsid w:val="00B00C67"/>
    <w:rsid w:val="00B86CC7"/>
    <w:rsid w:val="00BA6E94"/>
    <w:rsid w:val="00C22BB2"/>
    <w:rsid w:val="00C717BB"/>
    <w:rsid w:val="00CC66BB"/>
    <w:rsid w:val="00D71936"/>
    <w:rsid w:val="00D81A67"/>
    <w:rsid w:val="00DA1ED2"/>
    <w:rsid w:val="00DD6D65"/>
    <w:rsid w:val="00E05261"/>
    <w:rsid w:val="00E14C73"/>
    <w:rsid w:val="00E33D7E"/>
    <w:rsid w:val="00EB34C0"/>
    <w:rsid w:val="00F55D91"/>
    <w:rsid w:val="00F87A6E"/>
    <w:rsid w:val="00FC77DF"/>
    <w:rsid w:val="00FD07C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table" w:styleId="TableGrid">
    <w:name w:val="Table Grid"/>
    <w:basedOn w:val="TableNormal"/>
    <w:uiPriority w:val="59"/>
    <w:rsid w:val="006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Caption"/>
    <w:basedOn w:val="Normal"/>
    <w:link w:val="FigureCaptionChar"/>
    <w:qFormat/>
    <w:rsid w:val="00603806"/>
    <w:pPr>
      <w:spacing w:before="60" w:after="240" w:line="240" w:lineRule="auto"/>
    </w:pPr>
    <w:rPr>
      <w:rFonts w:ascii="Times New Roman" w:hAnsi="Times New Roman" w:cs="Times New Roman"/>
      <w:b/>
      <w:sz w:val="20"/>
      <w:szCs w:val="24"/>
    </w:rPr>
  </w:style>
  <w:style w:type="character" w:customStyle="1" w:styleId="FigureCaptionChar">
    <w:name w:val="FigureCaption Char"/>
    <w:basedOn w:val="DefaultParagraphFont"/>
    <w:link w:val="FigureCaption"/>
    <w:rsid w:val="00603806"/>
    <w:rPr>
      <w:rFonts w:ascii="Times New Roman" w:hAnsi="Times New Roman" w:cs="Times New Roman"/>
      <w:b/>
      <w:sz w:val="20"/>
      <w:szCs w:val="24"/>
    </w:rPr>
  </w:style>
  <w:style w:type="paragraph" w:styleId="Header">
    <w:name w:val="header"/>
    <w:basedOn w:val="Normal"/>
    <w:link w:val="HeaderChar"/>
    <w:uiPriority w:val="99"/>
    <w:semiHidden/>
    <w:unhideWhenUsed/>
    <w:rsid w:val="00372B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2B22"/>
  </w:style>
  <w:style w:type="paragraph" w:styleId="Footer">
    <w:name w:val="footer"/>
    <w:basedOn w:val="Normal"/>
    <w:link w:val="FooterChar"/>
    <w:uiPriority w:val="99"/>
    <w:semiHidden/>
    <w:unhideWhenUsed/>
    <w:rsid w:val="00372B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2B22"/>
  </w:style>
  <w:style w:type="character" w:styleId="CommentReference">
    <w:name w:val="annotation reference"/>
    <w:basedOn w:val="DefaultParagraphFont"/>
    <w:uiPriority w:val="99"/>
    <w:semiHidden/>
    <w:unhideWhenUsed/>
    <w:rsid w:val="00C22BB2"/>
    <w:rPr>
      <w:sz w:val="16"/>
      <w:szCs w:val="16"/>
    </w:rPr>
  </w:style>
  <w:style w:type="paragraph" w:styleId="CommentText">
    <w:name w:val="annotation text"/>
    <w:basedOn w:val="Normal"/>
    <w:link w:val="CommentTextChar"/>
    <w:uiPriority w:val="99"/>
    <w:semiHidden/>
    <w:unhideWhenUsed/>
    <w:rsid w:val="00C22BB2"/>
    <w:pPr>
      <w:spacing w:line="240" w:lineRule="auto"/>
    </w:pPr>
    <w:rPr>
      <w:sz w:val="20"/>
      <w:szCs w:val="20"/>
    </w:rPr>
  </w:style>
  <w:style w:type="character" w:customStyle="1" w:styleId="CommentTextChar">
    <w:name w:val="Comment Text Char"/>
    <w:basedOn w:val="DefaultParagraphFont"/>
    <w:link w:val="CommentText"/>
    <w:uiPriority w:val="99"/>
    <w:semiHidden/>
    <w:rsid w:val="00C22BB2"/>
    <w:rPr>
      <w:sz w:val="20"/>
      <w:szCs w:val="20"/>
    </w:rPr>
  </w:style>
  <w:style w:type="paragraph" w:styleId="Revision">
    <w:name w:val="Revision"/>
    <w:hidden/>
    <w:uiPriority w:val="99"/>
    <w:semiHidden/>
    <w:rsid w:val="003C3F8E"/>
    <w:pPr>
      <w:spacing w:after="0" w:line="240" w:lineRule="auto"/>
    </w:pPr>
  </w:style>
  <w:style w:type="paragraph" w:styleId="BalloonText">
    <w:name w:val="Balloon Text"/>
    <w:basedOn w:val="Normal"/>
    <w:link w:val="BalloonTextChar"/>
    <w:uiPriority w:val="99"/>
    <w:semiHidden/>
    <w:unhideWhenUsed/>
    <w:rsid w:val="003C3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Haden</dc:creator>
  <cp:lastModifiedBy>Patricia Haden</cp:lastModifiedBy>
  <cp:revision>39</cp:revision>
  <dcterms:created xsi:type="dcterms:W3CDTF">2018-05-05T02:00:00Z</dcterms:created>
  <dcterms:modified xsi:type="dcterms:W3CDTF">2018-05-08T05:39:00Z</dcterms:modified>
</cp:coreProperties>
</file>