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jc w:val="center"/>
        <w:rPr/>
      </w:pPr>
      <w:bookmarkStart w:id="0" w:name="_7nlk2ynsm6vx"/>
      <w:bookmarkEnd w:id="0"/>
      <w:r>
        <w:rPr>
          <w:rFonts w:eastAsia="Google Sans" w:cs="Google Sans" w:ascii="Google Sans" w:hAnsi="Google Sans"/>
        </w:rPr>
        <w:t>PASTA worksheet</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tbl>
      <w:tblPr>
        <w:tblStyle w:val="Table1"/>
        <w:tblW w:w="9375" w:type="dxa"/>
        <w:jc w:val="left"/>
        <w:tblInd w:w="0" w:type="dxa"/>
        <w:tblLayout w:type="fixed"/>
        <w:tblCellMar>
          <w:top w:w="100" w:type="dxa"/>
          <w:left w:w="100" w:type="dxa"/>
          <w:bottom w:w="100" w:type="dxa"/>
          <w:right w:w="100" w:type="dxa"/>
        </w:tblCellMar>
        <w:tblLook w:val="0600"/>
      </w:tblPr>
      <w:tblGrid>
        <w:gridCol w:w="2579"/>
        <w:gridCol w:w="6796"/>
      </w:tblGrid>
      <w:tr>
        <w:trPr/>
        <w:tc>
          <w:tcPr>
            <w:tcW w:w="2579" w:type="dxa"/>
            <w:tcBorders>
              <w:top w:val="single" w:sz="8" w:space="0" w:color="000000"/>
              <w:left w:val="single" w:sz="8" w:space="0" w:color="000000"/>
              <w:bottom w:val="single" w:sz="8" w:space="0" w:color="000000"/>
              <w:right w:val="single" w:sz="8" w:space="0" w:color="000000"/>
            </w:tcBorders>
            <w:shd w:fill="auto" w:val="clear"/>
            <w:vAlign w:val="center"/>
          </w:tcPr>
          <w:p>
            <w:pPr>
              <w:pStyle w:val="Heading3"/>
              <w:widowControl w:val="false"/>
              <w:spacing w:lineRule="auto" w:line="240" w:before="320" w:after="80"/>
              <w:rPr>
                <w:rFonts w:ascii="Google Sans" w:hAnsi="Google Sans" w:eastAsia="Google Sans" w:cs="Google Sans"/>
                <w:b/>
              </w:rPr>
            </w:pPr>
            <w:bookmarkStart w:id="1" w:name="_52vtqzpfabqd"/>
            <w:bookmarkEnd w:id="1"/>
            <w:r>
              <w:rPr>
                <w:rFonts w:eastAsia="Google Sans" w:cs="Google Sans" w:ascii="Google Sans" w:hAnsi="Google Sans"/>
                <w:b/>
              </w:rPr>
              <w:t>Stages</w:t>
            </w:r>
          </w:p>
        </w:tc>
        <w:tc>
          <w:tcPr>
            <w:tcW w:w="6796" w:type="dxa"/>
            <w:tcBorders>
              <w:top w:val="single" w:sz="8" w:space="0" w:color="000000"/>
              <w:left w:val="single" w:sz="8" w:space="0" w:color="000000"/>
              <w:bottom w:val="single" w:sz="8" w:space="0" w:color="000000"/>
              <w:right w:val="single" w:sz="8" w:space="0" w:color="000000"/>
            </w:tcBorders>
            <w:shd w:fill="auto" w:val="clear"/>
            <w:vAlign w:val="center"/>
          </w:tcPr>
          <w:p>
            <w:pPr>
              <w:pStyle w:val="Heading3"/>
              <w:widowControl w:val="false"/>
              <w:spacing w:lineRule="auto" w:line="240" w:before="320" w:after="80"/>
              <w:rPr>
                <w:rFonts w:ascii="Google Sans" w:hAnsi="Google Sans" w:eastAsia="Google Sans" w:cs="Google Sans"/>
                <w:b/>
              </w:rPr>
            </w:pPr>
            <w:bookmarkStart w:id="2" w:name="_rqizykdowjbx"/>
            <w:bookmarkEnd w:id="2"/>
            <w:r>
              <w:rPr>
                <w:rFonts w:eastAsia="Google Sans" w:cs="Google Sans" w:ascii="Google Sans" w:hAnsi="Google Sans"/>
                <w:b/>
              </w:rPr>
              <w:t>Sneaker company</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 Define business and security objectives</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The application is a market place application that allows sellers and shoppers a way to connect. </w:t>
            </w:r>
          </w:p>
          <w:p>
            <w:pPr>
              <w:pStyle w:val="normal1"/>
              <w:widowControl w:val="false"/>
              <w:numPr>
                <w:ilvl w:val="0"/>
                <w:numId w:val="3"/>
              </w:numPr>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Users accessing the site to, sign up, login and manager there accounts should be an easy process.</w:t>
            </w:r>
          </w:p>
          <w:p>
            <w:pPr>
              <w:pStyle w:val="normal1"/>
              <w:widowControl w:val="false"/>
              <w:numPr>
                <w:ilvl w:val="0"/>
                <w:numId w:val="3"/>
              </w:numPr>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Sales should be a quick and clear process. </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II. Define the technical scope</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Fonts w:eastAsia="Google Sans" w:cs="Google Sans" w:ascii="Google Sans" w:hAnsi="Google Sans"/>
              </w:rPr>
              <w:t>List of</w:t>
            </w:r>
            <w:r>
              <w:rPr>
                <w:rFonts w:eastAsia="Google Sans" w:cs="Google Sans" w:ascii="Google Sans" w:hAnsi="Google Sans"/>
                <w:b/>
              </w:rPr>
              <w:t xml:space="preserve"> </w:t>
            </w:r>
            <w:r>
              <w:rPr>
                <w:rFonts w:eastAsia="Google Sans" w:cs="Google Sans" w:ascii="Google Sans" w:hAnsi="Google Sans"/>
              </w:rPr>
              <w:t>technologies used by the application:</w:t>
            </w:r>
          </w:p>
          <w:p>
            <w:pPr>
              <w:pStyle w:val="normal1"/>
              <w:widowControl w:val="false"/>
              <w:numPr>
                <w:ilvl w:val="0"/>
                <w:numId w:val="2"/>
              </w:numPr>
              <w:spacing w:lineRule="auto" w:line="240"/>
              <w:ind w:hanging="360" w:left="720"/>
              <w:rPr>
                <w:rFonts w:ascii="Google Sans" w:hAnsi="Google Sans" w:eastAsia="Google Sans" w:cs="Google Sans"/>
                <w:i/>
                <w:i/>
              </w:rPr>
            </w:pPr>
            <w:r>
              <w:rPr>
                <w:rFonts w:eastAsia="Google Sans" w:cs="Google Sans" w:ascii="Google Sans" w:hAnsi="Google Sans"/>
                <w:i/>
              </w:rPr>
              <w:t>API</w:t>
            </w:r>
          </w:p>
          <w:p>
            <w:pPr>
              <w:pStyle w:val="normal1"/>
              <w:widowControl w:val="false"/>
              <w:numPr>
                <w:ilvl w:val="0"/>
                <w:numId w:val="2"/>
              </w:numPr>
              <w:spacing w:lineRule="auto" w:line="240"/>
              <w:ind w:hanging="360" w:left="720"/>
              <w:rPr>
                <w:rFonts w:ascii="Google Sans" w:hAnsi="Google Sans" w:eastAsia="Google Sans" w:cs="Google Sans"/>
                <w:i/>
                <w:i/>
              </w:rPr>
            </w:pPr>
            <w:r>
              <w:rPr>
                <w:rFonts w:eastAsia="Google Sans" w:cs="Google Sans" w:ascii="Google Sans" w:hAnsi="Google Sans"/>
                <w:i/>
              </w:rPr>
              <w:t>PKI</w:t>
            </w:r>
          </w:p>
          <w:p>
            <w:pPr>
              <w:pStyle w:val="normal1"/>
              <w:widowControl w:val="false"/>
              <w:numPr>
                <w:ilvl w:val="0"/>
                <w:numId w:val="2"/>
              </w:numPr>
              <w:spacing w:lineRule="auto" w:line="240"/>
              <w:ind w:hanging="360" w:left="720"/>
              <w:rPr>
                <w:rFonts w:ascii="Google Sans" w:hAnsi="Google Sans" w:eastAsia="Google Sans" w:cs="Google Sans"/>
                <w:i/>
                <w:i/>
              </w:rPr>
            </w:pPr>
            <w:r>
              <w:rPr>
                <w:rFonts w:eastAsia="Google Sans" w:cs="Google Sans" w:ascii="Google Sans" w:hAnsi="Google Sans"/>
                <w:i/>
              </w:rPr>
              <w:t>AES</w:t>
            </w:r>
          </w:p>
          <w:p>
            <w:pPr>
              <w:pStyle w:val="normal1"/>
              <w:widowControl w:val="false"/>
              <w:numPr>
                <w:ilvl w:val="0"/>
                <w:numId w:val="2"/>
              </w:numPr>
              <w:spacing w:lineRule="auto" w:line="240"/>
              <w:ind w:hanging="360" w:left="720"/>
              <w:rPr>
                <w:rFonts w:ascii="Google Sans" w:hAnsi="Google Sans" w:eastAsia="Google Sans" w:cs="Google Sans"/>
                <w:i/>
                <w:i/>
                <w:u w:val="none"/>
              </w:rPr>
            </w:pPr>
            <w:r>
              <w:rPr>
                <w:rFonts w:eastAsia="Google Sans" w:cs="Google Sans" w:ascii="Google Sans" w:hAnsi="Google Sans"/>
                <w:i/>
              </w:rPr>
              <w:t>SHA-256</w:t>
            </w:r>
          </w:p>
          <w:p>
            <w:pPr>
              <w:pStyle w:val="normal1"/>
              <w:widowControl w:val="false"/>
              <w:numPr>
                <w:ilvl w:val="0"/>
                <w:numId w:val="2"/>
              </w:numPr>
              <w:spacing w:lineRule="auto" w:line="240"/>
              <w:ind w:hanging="360" w:left="720"/>
              <w:rPr>
                <w:rFonts w:ascii="Google Sans" w:hAnsi="Google Sans" w:eastAsia="Google Sans" w:cs="Google Sans"/>
                <w:i/>
                <w:i/>
              </w:rPr>
            </w:pPr>
            <w:r>
              <w:rPr>
                <w:rFonts w:eastAsia="Google Sans" w:cs="Google Sans" w:ascii="Google Sans" w:hAnsi="Google Sans"/>
                <w:i/>
              </w:rPr>
              <w:t>SQL</w:t>
            </w:r>
          </w:p>
          <w:p>
            <w:pPr>
              <w:pStyle w:val="normal1"/>
              <w:widowControl w:val="false"/>
              <w:spacing w:lineRule="auto" w:line="240"/>
              <w:rPr>
                <w:rFonts w:ascii="Google Sans" w:hAnsi="Google Sans" w:eastAsia="Google Sans" w:cs="Google Sans"/>
                <w:i/>
                <w:i/>
              </w:rPr>
            </w:pPr>
            <w:r>
              <w:rPr>
                <w:rFonts w:eastAsia="Google Sans" w:cs="Google Sans" w:ascii="Google Sans" w:hAnsi="Google Sans"/>
                <w:i/>
              </w:rPr>
            </w:r>
          </w:p>
          <w:p>
            <w:pPr>
              <w:pStyle w:val="normal1"/>
              <w:widowControl w:val="false"/>
              <w:spacing w:lineRule="auto" w:line="240"/>
              <w:rPr>
                <w:rFonts w:ascii="Google Sans" w:hAnsi="Google Sans" w:eastAsia="Google Sans" w:cs="Google Sans"/>
              </w:rPr>
            </w:pPr>
            <w:r>
              <w:rPr>
                <w:rFonts w:eastAsia="Google Sans" w:cs="Google Sans" w:ascii="Google Sans" w:hAnsi="Google Sans"/>
              </w:rPr>
              <w:t xml:space="preserve">SQL attacks are the simplest attacks to conduct against the website with very little technical information about the site. SQL injection attacks should be the first area evaluated for the new website. Eliminating known SQL injection attacks will dramatically reduce the vulnerability to attacks to the website. </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III. Decompose application</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hyperlink r:id="rId2">
              <w:r>
                <w:rPr>
                  <w:rStyle w:val="Style3"/>
                  <w:rFonts w:eastAsia="Google Sans" w:cs="Google Sans" w:ascii="Google Sans" w:hAnsi="Google Sans"/>
                  <w:color w:val="1155CC"/>
                  <w:u w:val="single"/>
                </w:rPr>
                <w:t>Sample data flow diagram</w:t>
              </w:r>
            </w:hyperlink>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IV. Threat analysis</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rPr>
            </w:pPr>
            <w:r>
              <w:rPr>
                <w:rFonts w:eastAsia="Google Sans" w:cs="Google Sans" w:ascii="Google Sans" w:hAnsi="Google Sans"/>
              </w:rPr>
              <w:t xml:space="preserve">List </w:t>
            </w:r>
            <w:r>
              <w:rPr>
                <w:rFonts w:eastAsia="Google Sans" w:cs="Google Sans" w:ascii="Google Sans" w:hAnsi="Google Sans"/>
                <w:b/>
              </w:rPr>
              <w:t>2 types of threats</w:t>
            </w:r>
            <w:r>
              <w:rPr>
                <w:rFonts w:eastAsia="Google Sans" w:cs="Google Sans" w:ascii="Google Sans" w:hAnsi="Google Sans"/>
              </w:rPr>
              <w:t xml:space="preserve"> in the PASTA worksheet that are risks to the information being handled by the application.</w:t>
            </w:r>
          </w:p>
          <w:p>
            <w:pPr>
              <w:pStyle w:val="normal1"/>
              <w:widowControl w:val="false"/>
              <w:numPr>
                <w:ilvl w:val="7"/>
                <w:numId w:val="4"/>
              </w:numPr>
              <w:pBdr/>
              <w:shd w:val="clear" w:fill="auto"/>
              <w:spacing w:lineRule="auto" w:line="240" w:before="0" w:after="0"/>
              <w:ind w:hanging="360" w:left="720" w:right="0"/>
              <w:jc w:val="left"/>
              <w:rPr>
                <w:rFonts w:ascii="Google Sans" w:hAnsi="Google Sans" w:eastAsia="Google Sans" w:cs="Google Sans"/>
                <w:i/>
                <w:i/>
                <w:u w:val="none"/>
              </w:rPr>
            </w:pPr>
            <w:r>
              <w:rPr>
                <w:rFonts w:eastAsia="Google Sans" w:cs="Google Sans" w:ascii="Google Sans" w:hAnsi="Google Sans"/>
                <w:i/>
                <w:u w:val="none"/>
              </w:rPr>
              <w:t>internal threats- Social engineering to gain access to the admin functions in the website or directly to the database.</w:t>
            </w:r>
          </w:p>
          <w:p>
            <w:pPr>
              <w:pStyle w:val="normal1"/>
              <w:widowControl w:val="false"/>
              <w:numPr>
                <w:ilvl w:val="1"/>
                <w:numId w:val="4"/>
              </w:numPr>
              <w:pBdr/>
              <w:shd w:val="clear" w:fill="auto"/>
              <w:spacing w:lineRule="auto" w:line="240" w:before="0" w:after="0"/>
              <w:ind w:hanging="360" w:left="720" w:right="0"/>
              <w:jc w:val="left"/>
              <w:rPr>
                <w:rFonts w:ascii="Google Sans" w:hAnsi="Google Sans" w:eastAsia="Google Sans" w:cs="Google Sans"/>
                <w:i/>
                <w:i/>
                <w:u w:val="none"/>
              </w:rPr>
            </w:pPr>
            <w:r>
              <w:rPr>
                <w:rFonts w:eastAsia="Google Sans" w:cs="Google Sans" w:ascii="Google Sans" w:hAnsi="Google Sans"/>
                <w:i/>
                <w:u w:val="none"/>
              </w:rPr>
              <w:t xml:space="preserve">external threats -SQL injection attacks through the website to gain access, delete\change data or for gaining a foothold into the system for future attacks.  </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V. Vulnerability analysis</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rPr>
            </w:pPr>
            <w:r>
              <w:rPr>
                <w:rFonts w:eastAsia="Google Sans" w:cs="Google Sans" w:ascii="Google Sans" w:hAnsi="Google Sans"/>
              </w:rPr>
              <w:t xml:space="preserve">List </w:t>
            </w:r>
            <w:r>
              <w:rPr>
                <w:rFonts w:eastAsia="Google Sans" w:cs="Google Sans" w:ascii="Google Sans" w:hAnsi="Google Sans"/>
                <w:b/>
              </w:rPr>
              <w:t>2 vulnerabilities</w:t>
            </w:r>
            <w:r>
              <w:rPr>
                <w:rFonts w:eastAsia="Google Sans" w:cs="Google Sans" w:ascii="Google Sans" w:hAnsi="Google Sans"/>
              </w:rPr>
              <w:t xml:space="preserve"> in the PASTA worksheet that could be exploited.</w:t>
            </w:r>
          </w:p>
          <w:p>
            <w:pPr>
              <w:pStyle w:val="normal1"/>
              <w:keepNext w:val="false"/>
              <w:keepLines w:val="false"/>
              <w:widowControl w:val="false"/>
              <w:numPr>
                <w:ilvl w:val="0"/>
                <w:numId w:val="1"/>
              </w:numPr>
              <w:pBdr/>
              <w:shd w:val="clear" w:fill="auto"/>
              <w:spacing w:lineRule="auto" w:line="240" w:before="0" w:after="0"/>
              <w:ind w:hanging="360" w:left="720" w:right="0"/>
              <w:jc w:val="left"/>
              <w:rPr>
                <w:rFonts w:ascii="Google Sans" w:hAnsi="Google Sans" w:eastAsia="Google Sans" w:cs="Google Sans"/>
                <w:i/>
                <w:i/>
                <w:u w:val="none"/>
              </w:rPr>
            </w:pPr>
            <w:r>
              <w:rPr>
                <w:rFonts w:eastAsia="Google Sans" w:cs="Google Sans" w:ascii="Google Sans" w:hAnsi="Google Sans"/>
                <w:i/>
              </w:rPr>
              <w:t>Improper Data Validation</w:t>
            </w:r>
          </w:p>
          <w:p>
            <w:pPr>
              <w:pStyle w:val="normal1"/>
              <w:widowControl w:val="false"/>
              <w:numPr>
                <w:ilvl w:val="1"/>
                <w:numId w:val="1"/>
              </w:numPr>
              <w:pBdr/>
              <w:shd w:val="clear" w:fill="auto"/>
              <w:spacing w:lineRule="auto" w:line="240" w:before="0" w:after="0"/>
              <w:ind w:hanging="360" w:left="720" w:right="0"/>
              <w:jc w:val="left"/>
              <w:rPr>
                <w:rFonts w:ascii="Google Sans" w:hAnsi="Google Sans" w:eastAsia="Google Sans" w:cs="Google Sans"/>
                <w:i/>
                <w:i/>
                <w:u w:val="none"/>
              </w:rPr>
            </w:pPr>
            <w:hyperlink r:id="rId3">
              <w:r>
                <w:rPr>
                  <w:rStyle w:val="Hyperlink"/>
                  <w:rFonts w:eastAsia="Google Sans" w:cs="Google Sans" w:ascii="Google Sans" w:hAnsi="Google Sans"/>
                  <w:i/>
                </w:rPr>
                <w:t>https://www.cve.org/CVERecord?id=CVE-2024-7456</w:t>
              </w:r>
            </w:hyperlink>
          </w:p>
          <w:p>
            <w:pPr>
              <w:pStyle w:val="normal1"/>
              <w:widowControl w:val="false"/>
              <w:numPr>
                <w:ilvl w:val="1"/>
                <w:numId w:val="1"/>
              </w:numPr>
              <w:pBdr/>
              <w:shd w:val="clear" w:fill="auto"/>
              <w:spacing w:lineRule="auto" w:line="240" w:before="0" w:after="0"/>
              <w:ind w:hanging="360" w:left="720" w:right="0"/>
              <w:jc w:val="left"/>
              <w:rPr>
                <w:rFonts w:ascii="Google Sans" w:hAnsi="Google Sans" w:eastAsia="Google Sans" w:cs="Google Sans"/>
                <w:i/>
                <w:i/>
                <w:u w:val="none"/>
              </w:rPr>
            </w:pPr>
            <w:r>
              <w:rPr>
                <w:rFonts w:eastAsia="Google Sans" w:cs="Google Sans" w:ascii="Google Sans" w:hAnsi="Google Sans"/>
                <w:i/>
              </w:rPr>
              <w:t>https://www.cve.org/CVERecord?id=CVE-2024-24773</w:t>
            </w:r>
          </w:p>
          <w:p>
            <w:pPr>
              <w:pStyle w:val="normal1"/>
              <w:keepNext w:val="false"/>
              <w:keepLines w:val="false"/>
              <w:widowControl w:val="false"/>
              <w:numPr>
                <w:ilvl w:val="0"/>
                <w:numId w:val="1"/>
              </w:numPr>
              <w:pBdr/>
              <w:shd w:val="clear" w:fill="auto"/>
              <w:spacing w:lineRule="auto" w:line="240" w:before="0" w:after="0"/>
              <w:ind w:hanging="360" w:left="720" w:right="0"/>
              <w:jc w:val="left"/>
              <w:rPr>
                <w:rFonts w:ascii="Google Sans" w:hAnsi="Google Sans" w:eastAsia="Google Sans" w:cs="Google Sans"/>
                <w:i/>
                <w:i/>
                <w:u w:val="none"/>
              </w:rPr>
            </w:pPr>
            <w:r>
              <w:rPr/>
              <w:t>Injection problem</w:t>
            </w:r>
          </w:p>
          <w:p>
            <w:pPr>
              <w:pStyle w:val="normal1"/>
              <w:widowControl w:val="false"/>
              <w:numPr>
                <w:ilvl w:val="0"/>
                <w:numId w:val="0"/>
              </w:numPr>
              <w:pBdr/>
              <w:shd w:val="clear" w:fill="auto"/>
              <w:spacing w:lineRule="auto" w:line="240" w:before="0" w:after="0"/>
              <w:ind w:hanging="0" w:left="720" w:right="0"/>
              <w:jc w:val="left"/>
              <w:rPr>
                <w:rFonts w:ascii="Google Sans" w:hAnsi="Google Sans" w:eastAsia="Google Sans" w:cs="Google Sans"/>
                <w:i/>
                <w:i/>
                <w:u w:val="none"/>
              </w:rPr>
            </w:pPr>
            <w:r>
              <w:rPr/>
              <w:t>https://www.cve.org/CVERecord?id=CVE-2025-9943</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VI. Attack modeling</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hyperlink r:id="rId4">
              <w:r>
                <w:rPr>
                  <w:rStyle w:val="Style3"/>
                  <w:rFonts w:eastAsia="Google Sans" w:cs="Google Sans" w:ascii="Google Sans" w:hAnsi="Google Sans"/>
                  <w:color w:val="1155CC"/>
                  <w:u w:val="single"/>
                </w:rPr>
                <w:t>Sample attack tree diagram</w:t>
              </w:r>
            </w:hyperlink>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VII. Risk analysis and impact</w:t>
            </w:r>
          </w:p>
        </w:tc>
        <w:tc>
          <w:tcPr>
            <w:tcW w:w="67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rPr>
            </w:pPr>
            <w:r>
              <w:rPr>
                <w:rFonts w:eastAsia="Google Sans" w:cs="Google Sans" w:ascii="Google Sans" w:hAnsi="Google Sans"/>
              </w:rPr>
              <w:t xml:space="preserve">List </w:t>
            </w:r>
            <w:r>
              <w:rPr>
                <w:rFonts w:eastAsia="Google Sans" w:cs="Google Sans" w:ascii="Google Sans" w:hAnsi="Google Sans"/>
                <w:b/>
              </w:rPr>
              <w:t>4 security controls</w:t>
            </w:r>
            <w:r>
              <w:rPr>
                <w:rFonts w:eastAsia="Google Sans" w:cs="Google Sans" w:ascii="Google Sans" w:hAnsi="Google Sans"/>
              </w:rPr>
              <w:t xml:space="preserve"> that you’ve learned about that can reduce risk.</w:t>
            </w:r>
          </w:p>
          <w:p>
            <w:pPr>
              <w:pStyle w:val="normal1"/>
              <w:widowControl w:val="false"/>
              <w:pBdr/>
              <w:shd w:val="clear" w:fill="auto"/>
              <w:spacing w:lineRule="auto" w:line="240" w:before="0" w:after="0"/>
              <w:ind w:hanging="0" w:left="0" w:right="0"/>
              <w:jc w:val="left"/>
              <w:rPr>
                <w:rFonts w:ascii="Google Sans" w:hAnsi="Google Sans" w:eastAsia="Google Sans" w:cs="Google Sans"/>
              </w:rPr>
            </w:pPr>
            <w:r>
              <w:rPr>
                <w:rFonts w:eastAsia="Google Sans" w:cs="Google Sans" w:ascii="Google Sans" w:hAnsi="Google Sans"/>
              </w:rPr>
              <w:t xml:space="preserve">1. </w:t>
            </w:r>
            <w:r>
              <w:rPr/>
              <w:t xml:space="preserve">Parameterized Queries/Prepared Statements </w:t>
            </w:r>
          </w:p>
          <w:p>
            <w:pPr>
              <w:pStyle w:val="normal1"/>
              <w:widowControl w:val="false"/>
              <w:pBdr/>
              <w:shd w:val="clear" w:fill="auto"/>
              <w:spacing w:lineRule="auto" w:line="240" w:before="0" w:after="0"/>
              <w:ind w:hanging="0" w:left="0" w:right="0"/>
              <w:jc w:val="left"/>
              <w:rPr>
                <w:rFonts w:ascii="Google Sans" w:hAnsi="Google Sans" w:eastAsia="Google Sans" w:cs="Google Sans"/>
              </w:rPr>
            </w:pPr>
            <w:r>
              <w:rPr/>
              <w:t>2. Input Sanitization</w:t>
            </w:r>
          </w:p>
          <w:p>
            <w:pPr>
              <w:pStyle w:val="normal1"/>
              <w:widowControl w:val="false"/>
              <w:pBdr/>
              <w:shd w:val="clear" w:fill="auto"/>
              <w:spacing w:lineRule="auto" w:line="240" w:before="0" w:after="0"/>
              <w:ind w:hanging="0" w:left="0" w:right="0"/>
              <w:jc w:val="left"/>
              <w:rPr>
                <w:rFonts w:ascii="Google Sans" w:hAnsi="Google Sans" w:eastAsia="Google Sans" w:cs="Google Sans"/>
              </w:rPr>
            </w:pPr>
            <w:r>
              <w:rPr/>
              <w:t>3. stored procedures</w:t>
            </w:r>
          </w:p>
          <w:p>
            <w:pPr>
              <w:pStyle w:val="normal1"/>
              <w:widowControl w:val="false"/>
              <w:pBdr/>
              <w:shd w:val="clear" w:fill="auto"/>
              <w:spacing w:lineRule="auto" w:line="240" w:before="0" w:after="0"/>
              <w:ind w:hanging="0" w:left="0" w:right="0"/>
              <w:jc w:val="left"/>
              <w:rPr>
                <w:rFonts w:ascii="Google Sans" w:hAnsi="Google Sans" w:eastAsia="Google Sans" w:cs="Google Sans"/>
              </w:rPr>
            </w:pPr>
            <w:r>
              <w:rPr/>
              <w:t>4. server side validation</w:t>
            </w:r>
          </w:p>
          <w:p>
            <w:pPr>
              <w:pStyle w:val="normal1"/>
              <w:widowControl w:val="false"/>
              <w:pBdr/>
              <w:shd w:val="clear" w:fill="auto"/>
              <w:spacing w:lineRule="auto" w:line="240" w:before="0" w:after="0"/>
              <w:ind w:hanging="0" w:left="0" w:right="0"/>
              <w:jc w:val="left"/>
              <w:rPr>
                <w:rFonts w:ascii="Google Sans" w:hAnsi="Google Sans" w:eastAsia="Google Sans" w:cs="Google Sans"/>
              </w:rPr>
            </w:pPr>
            <w:r>
              <w:rPr/>
              <w:t>5. least privilege access.</w:t>
            </w:r>
          </w:p>
        </w:tc>
      </w:tr>
    </w:tbl>
    <w:p>
      <w:pPr>
        <w:pStyle w:val="normal1"/>
        <w:rPr/>
      </w:pPr>
      <w:r>
        <w:rPr/>
      </w:r>
    </w:p>
    <w:p>
      <w:pPr>
        <w:pStyle w:val="normal1"/>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presentation/d/1ol7y79popTFfNHM-90ES-H-i1Lpd0YNvPShxBlXozjg/template/preview?resourcekey=0-DZAkf7Vzh2PXsP-j3oXV-g" TargetMode="External"/><Relationship Id="rId3" Type="http://schemas.openxmlformats.org/officeDocument/2006/relationships/hyperlink" Target="https://www.cve.org/CVERecord?id=CVE-2024-7456" TargetMode="External"/><Relationship Id="rId4"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LibreOffice/25.2.5.2$Windows_X86_64 LibreOffice_project/03d19516eb2e1dd5d4ccd751a0d6f35f35e08022</Application>
  <AppVersion>15.0000</AppVersion>
  <Pages>2</Pages>
  <Words>268</Words>
  <Characters>1530</Characters>
  <CharactersWithSpaces>1752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2025-09-12T10:32:55Z</dcterms:modified>
  <cp:revision>2</cp:revision>
  <dc:subject/>
  <dc:title/>
</cp:coreProperties>
</file>