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320" w:after="0"/>
        <w:rPr>
          <w:rFonts w:ascii="Proxima Nova" w:hAnsi="Proxima Nova" w:eastAsia="Proxima Nova" w:cs="Proxima Nova"/>
          <w:b/>
          <w:color w:val="4A86E8"/>
          <w:sz w:val="58"/>
          <w:szCs w:val="58"/>
        </w:rPr>
      </w:pPr>
      <w:bookmarkStart w:id="0" w:name="_5x0d5h95i329"/>
      <w:bookmarkEnd w:id="0"/>
      <w:r>
        <w:rPr>
          <w:rFonts w:eastAsia="Google Sans" w:cs="Google Sans" w:ascii="Google Sans" w:hAnsi="Google Sans"/>
          <w:b/>
          <w:color w:val="4A86E8"/>
          <w:sz w:val="58"/>
          <w:szCs w:val="58"/>
        </w:rPr>
        <w:t>Vulnerability Assessment Report</w:t>
      </w:r>
    </w:p>
    <w:p>
      <w:pPr>
        <w:pStyle w:val="Subtitle"/>
        <w:keepNext w:val="false"/>
        <w:keepLines w:val="false"/>
        <w:spacing w:lineRule="auto" w:line="240" w:before="0" w:after="0"/>
        <w:rPr>
          <w:rFonts w:ascii="Google Sans" w:hAnsi="Google Sans" w:eastAsia="Google Sans" w:cs="Google Sans"/>
          <w:b/>
          <w:sz w:val="28"/>
          <w:szCs w:val="28"/>
        </w:rPr>
      </w:pPr>
      <w:bookmarkStart w:id="1" w:name="_af80tl7prv5v"/>
      <w:bookmarkEnd w:id="1"/>
      <w:r>
        <w:rPr>
          <w:rFonts w:eastAsia="Google Sans" w:cs="Google Sans" w:ascii="Google Sans" w:hAnsi="Google Sans"/>
          <w:b/>
          <w:sz w:val="28"/>
          <w:szCs w:val="28"/>
        </w:rPr>
        <w:t>1</w:t>
      </w:r>
      <w:r>
        <w:rPr>
          <w:rFonts w:eastAsia="Google Sans" w:cs="Google Sans" w:ascii="Google Sans" w:hAnsi="Google Sans"/>
          <w:b/>
          <w:sz w:val="28"/>
          <w:szCs w:val="28"/>
          <w:vertAlign w:val="superscript"/>
        </w:rPr>
        <w:t>st</w:t>
      </w:r>
      <w:r>
        <w:rPr>
          <w:rFonts w:eastAsia="Google Sans" w:cs="Google Sans" w:ascii="Google Sans" w:hAnsi="Google Sans"/>
          <w:b/>
          <w:sz w:val="28"/>
          <w:szCs w:val="28"/>
        </w:rPr>
        <w:t xml:space="preserve"> January 20</w:t>
      </w:r>
      <w:r>
        <w:rPr>
          <w:rFonts w:eastAsia="Google Sans" w:cs="Google Sans" w:ascii="Google Sans" w:hAnsi="Google Sans"/>
          <w:b/>
          <w:sz w:val="28"/>
          <w:szCs w:val="28"/>
        </w:rPr>
        <w:t>25</w:t>
      </w:r>
    </w:p>
    <w:p>
      <w:pPr>
        <w:pStyle w:val="Subtitle"/>
        <w:keepNext w:val="false"/>
        <w:keepLines w:val="false"/>
        <w:spacing w:lineRule="auto" w:line="240" w:before="0" w:after="0"/>
        <w:rPr>
          <w:rFonts w:ascii="Google Sans" w:hAnsi="Google Sans" w:eastAsia="Google Sans" w:cs="Google Sans"/>
          <w:b/>
          <w:sz w:val="28"/>
          <w:szCs w:val="28"/>
        </w:rPr>
      </w:pPr>
      <w:bookmarkStart w:id="2" w:name="_nhcy8rpxthcf"/>
      <w:bookmarkEnd w:id="2"/>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80" w:after="0"/>
        <w:rPr>
          <w:rFonts w:ascii="Proxima Nova" w:hAnsi="Proxima Nova" w:eastAsia="Proxima Nova" w:cs="Proxima Nova"/>
          <w:b/>
          <w:color w:val="353744"/>
          <w:sz w:val="28"/>
          <w:szCs w:val="28"/>
        </w:rPr>
      </w:pPr>
      <w:bookmarkStart w:id="3" w:name="_buc6q0k08dmn"/>
      <w:bookmarkEnd w:id="3"/>
      <w:r>
        <w:rPr>
          <w:rFonts w:eastAsia="Proxima Nova" w:cs="Proxima Nova" w:ascii="Proxima Nova" w:hAnsi="Proxima Nova"/>
          <w:b/>
          <w:color w:val="353744"/>
          <w:sz w:val="28"/>
          <w:szCs w:val="28"/>
        </w:rPr>
        <w:t>System Description</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keepNext w:val="false"/>
        <w:keepLines w:val="false"/>
        <w:spacing w:lineRule="auto" w:line="240" w:before="480" w:after="0"/>
        <w:rPr>
          <w:rFonts w:ascii="Proxima Nova" w:hAnsi="Proxima Nova" w:eastAsia="Proxima Nova" w:cs="Proxima Nova"/>
          <w:b/>
          <w:color w:val="353744"/>
          <w:sz w:val="28"/>
          <w:szCs w:val="28"/>
        </w:rPr>
      </w:pPr>
      <w:bookmarkStart w:id="4" w:name="_e64wndl8jmz1"/>
      <w:bookmarkEnd w:id="4"/>
      <w:r>
        <w:rPr>
          <w:rFonts w:eastAsia="Proxima Nova" w:cs="Proxima Nova" w:ascii="Proxima Nova" w:hAnsi="Proxima Nova"/>
          <w:b/>
          <w:color w:val="353744"/>
          <w:sz w:val="28"/>
          <w:szCs w:val="28"/>
        </w:rPr>
        <w:t>Scope</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 xml:space="preserve">The scope of this vulnerability assessment relates to the current access controls of the system. The assessment will cover a period of three months, from June 20XX to August 20XX. </w:t>
      </w:r>
      <w:r>
        <w:fldChar w:fldCharType="begin"/>
      </w:r>
      <w:r>
        <w:rPr>
          <w:rStyle w:val="Style3"/>
          <w:u w:val="single"/>
          <w:rFonts w:eastAsia="Google Sans" w:cs="Google Sans" w:ascii="Google Sans" w:hAnsi="Google Sans"/>
          <w:color w:val="1155CC"/>
        </w:rPr>
        <w:instrText xml:space="preserve"> HYPERLINK "https://docs.google.com/document/d/1Fc4L2azQlnUM-8r43PU9mYlT30BnxTwdjAMqpT7JeZk/edit?resourcekey=0-Q-XglnC3Li7JPK2hIvMkVg" \l "heading=h.hvbcmqwzo9do"</w:instrText>
      </w:r>
      <w:r>
        <w:rPr>
          <w:rStyle w:val="Style3"/>
          <w:u w:val="single"/>
          <w:rFonts w:eastAsia="Google Sans" w:cs="Google Sans" w:ascii="Google Sans" w:hAnsi="Google Sans"/>
          <w:color w:val="1155CC"/>
        </w:rPr>
        <w:fldChar w:fldCharType="separate"/>
      </w:r>
      <w:r>
        <w:rPr>
          <w:rStyle w:val="Style3"/>
          <w:rFonts w:eastAsia="Google Sans" w:cs="Google Sans" w:ascii="Google Sans" w:hAnsi="Google Sans"/>
          <w:color w:val="1155CC"/>
          <w:u w:val="single"/>
        </w:rPr>
        <w:t>NIST SP 800-30 Rev. 1</w:t>
      </w:r>
      <w:r>
        <w:rPr>
          <w:rStyle w:val="Style3"/>
          <w:u w:val="single"/>
          <w:rFonts w:eastAsia="Google Sans" w:cs="Google Sans" w:ascii="Google Sans" w:hAnsi="Google Sans"/>
          <w:color w:val="1155CC"/>
        </w:rPr>
        <w:fldChar w:fldCharType="end"/>
      </w:r>
      <w:r>
        <w:rPr>
          <w:rFonts w:eastAsia="Google Sans" w:cs="Google Sans" w:ascii="Google Sans" w:hAnsi="Google Sans"/>
          <w:color w:val="353744"/>
        </w:rPr>
        <w:t xml:space="preserve"> is used to guide the risk analysis of the information system.</w:t>
      </w:r>
    </w:p>
    <w:p>
      <w:pPr>
        <w:pStyle w:val="Heading1"/>
        <w:keepNext w:val="false"/>
        <w:keepLines w:val="false"/>
        <w:spacing w:lineRule="auto" w:line="240" w:before="480" w:after="0"/>
        <w:rPr>
          <w:rFonts w:ascii="Proxima Nova" w:hAnsi="Proxima Nova" w:eastAsia="Proxima Nova" w:cs="Proxima Nova"/>
          <w:b/>
          <w:color w:val="353744"/>
          <w:sz w:val="28"/>
          <w:szCs w:val="28"/>
        </w:rPr>
      </w:pPr>
      <w:bookmarkStart w:id="5" w:name="_oymnw3nlvwib"/>
      <w:bookmarkEnd w:id="5"/>
      <w:r>
        <w:rPr>
          <w:rFonts w:eastAsia="Proxima Nova" w:cs="Proxima Nova" w:ascii="Proxima Nova" w:hAnsi="Proxima Nova"/>
          <w:b/>
          <w:color w:val="353744"/>
          <w:sz w:val="28"/>
          <w:szCs w:val="28"/>
        </w:rPr>
        <w:t>Purpose</w:t>
      </w:r>
    </w:p>
    <w:p>
      <w:pPr>
        <w:pStyle w:val="normal1"/>
        <w:spacing w:lineRule="auto" w:line="240" w:before="200" w:after="200"/>
        <w:rPr>
          <w:rFonts w:ascii="Google Sans" w:hAnsi="Google Sans" w:eastAsia="Google Sans" w:cs="Google Sans"/>
          <w:color w:val="353744"/>
        </w:rPr>
      </w:pPr>
      <w:r>
        <w:rPr>
          <w:rFonts w:eastAsia="Google Sans" w:cs="Google Sans" w:ascii="Google Sans" w:hAnsi="Google Sans"/>
          <w:i/>
          <w:color w:val="353744"/>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pPr>
        <w:pStyle w:val="Heading1"/>
        <w:keepNext w:val="false"/>
        <w:keepLines w:val="false"/>
        <w:spacing w:lineRule="auto" w:line="240" w:before="480" w:after="0"/>
        <w:rPr>
          <w:rFonts w:ascii="Proxima Nova" w:hAnsi="Proxima Nova" w:eastAsia="Proxima Nova" w:cs="Proxima Nova"/>
          <w:b/>
          <w:color w:val="353744"/>
          <w:sz w:val="28"/>
          <w:szCs w:val="28"/>
        </w:rPr>
      </w:pPr>
      <w:bookmarkStart w:id="6" w:name="_i2ip4lwifo50"/>
      <w:bookmarkEnd w:id="6"/>
      <w:r>
        <w:rPr>
          <w:rFonts w:eastAsia="Proxima Nova" w:cs="Proxima Nova" w:ascii="Proxima Nova" w:hAnsi="Proxima Nova"/>
          <w:b/>
          <w:color w:val="353744"/>
          <w:sz w:val="28"/>
          <w:szCs w:val="28"/>
        </w:rPr>
        <w:t>Risk Assessment</w:t>
      </w:r>
    </w:p>
    <w:p>
      <w:pPr>
        <w:pStyle w:val="normal1"/>
        <w:spacing w:lineRule="auto" w:line="312"/>
        <w:rPr>
          <w:rFonts w:ascii="Google Sans" w:hAnsi="Google Sans" w:eastAsia="Google Sans" w:cs="Google Sans"/>
          <w:color w:val="353744"/>
        </w:rPr>
      </w:pPr>
      <w:r>
        <w:rPr>
          <w:rFonts w:eastAsia="Google Sans" w:cs="Google Sans" w:ascii="Google Sans" w:hAnsi="Google Sans"/>
          <w:color w:val="353744"/>
        </w:rPr>
      </w:r>
    </w:p>
    <w:tbl>
      <w:tblPr>
        <w:tblStyle w:val="Table1"/>
        <w:tblW w:w="9300" w:type="dxa"/>
        <w:jc w:val="left"/>
        <w:tblInd w:w="0" w:type="dxa"/>
        <w:tblLayout w:type="fixed"/>
        <w:tblCellMar>
          <w:top w:w="100" w:type="dxa"/>
          <w:left w:w="100" w:type="dxa"/>
          <w:bottom w:w="100" w:type="dxa"/>
          <w:right w:w="100" w:type="dxa"/>
        </w:tblCellMar>
        <w:tblLook w:val="0600"/>
      </w:tblPr>
      <w:tblGrid>
        <w:gridCol w:w="1860"/>
        <w:gridCol w:w="3614"/>
        <w:gridCol w:w="1395"/>
        <w:gridCol w:w="1320"/>
        <w:gridCol w:w="1111"/>
      </w:tblGrid>
      <w:tr>
        <w:trPr/>
        <w:tc>
          <w:tcPr>
            <w:tcW w:w="186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color w:val="353744"/>
              </w:rPr>
            </w:pPr>
            <w:r>
              <w:rPr>
                <w:rFonts w:eastAsia="Google Sans" w:cs="Google Sans" w:ascii="Google Sans" w:hAnsi="Google Sans"/>
                <w:b/>
                <w:color w:val="353744"/>
              </w:rPr>
              <w:t>Threat source</w:t>
            </w:r>
          </w:p>
        </w:tc>
        <w:tc>
          <w:tcPr>
            <w:tcW w:w="3614"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color w:val="353744"/>
              </w:rPr>
            </w:pPr>
            <w:r>
              <w:rPr>
                <w:rFonts w:eastAsia="Google Sans" w:cs="Google Sans" w:ascii="Google Sans" w:hAnsi="Google Sans"/>
                <w:b/>
                <w:color w:val="353744"/>
              </w:rPr>
              <w:t>Threat event</w:t>
            </w:r>
          </w:p>
        </w:tc>
        <w:tc>
          <w:tcPr>
            <w:tcW w:w="1395"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color w:val="353744"/>
              </w:rPr>
            </w:pPr>
            <w:r>
              <w:rPr>
                <w:rFonts w:eastAsia="Google Sans" w:cs="Google Sans" w:ascii="Google Sans" w:hAnsi="Google Sans"/>
                <w:b/>
                <w:color w:val="353744"/>
              </w:rPr>
              <w:t>Likelihood</w:t>
            </w:r>
          </w:p>
        </w:tc>
        <w:tc>
          <w:tcPr>
            <w:tcW w:w="132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color w:val="353744"/>
              </w:rPr>
            </w:pPr>
            <w:r>
              <w:rPr>
                <w:rFonts w:eastAsia="Google Sans" w:cs="Google Sans" w:ascii="Google Sans" w:hAnsi="Google Sans"/>
                <w:b/>
                <w:color w:val="353744"/>
              </w:rPr>
              <w:t>Severity</w:t>
            </w:r>
          </w:p>
        </w:tc>
        <w:tc>
          <w:tcPr>
            <w:tcW w:w="1111"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color w:val="353744"/>
              </w:rPr>
            </w:pPr>
            <w:r>
              <w:rPr>
                <w:rFonts w:eastAsia="Google Sans" w:cs="Google Sans" w:ascii="Google Sans" w:hAnsi="Google Sans"/>
                <w:b/>
                <w:color w:val="353744"/>
              </w:rPr>
              <w:t>Risk</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Competitor</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Obtain sensitive information via ex-filtration</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rHeight w:val="436" w:hRule="atLeast"/>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hacktivist</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t xml:space="preserve">Obtain sensitive information </w:t>
            </w:r>
            <w:r>
              <w:rPr/>
              <w:t>to damage the companies reputation</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2</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6</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 xml:space="preserve">Hacker </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t xml:space="preserve">sensitive information to damage the companies reputation </w:t>
            </w:r>
            <w:r>
              <w:rPr/>
              <w:t>or sale on the dark web</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2</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6</w:t>
            </w:r>
          </w:p>
        </w:tc>
      </w:tr>
      <w:tr>
        <w:trPr>
          <w:trHeight w:val="441" w:hRule="atLeast"/>
        </w:trPr>
        <w:tc>
          <w:tcPr>
            <w:tcW w:w="18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Hardware failure</w:t>
            </w:r>
          </w:p>
        </w:tc>
        <w:tc>
          <w:tcPr>
            <w:tcW w:w="361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Loss of access to or corruption of data contained in the database</w:t>
            </w:r>
          </w:p>
        </w:tc>
        <w:tc>
          <w:tcPr>
            <w:tcW w:w="13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1</w:t>
            </w:r>
          </w:p>
        </w:tc>
        <w:tc>
          <w:tcPr>
            <w:tcW w:w="13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r>
      <w:tr>
        <w:trPr>
          <w:trHeight w:val="441" w:hRule="atLeast"/>
        </w:trPr>
        <w:tc>
          <w:tcPr>
            <w:tcW w:w="18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Disgruntle Employee</w:t>
            </w:r>
          </w:p>
        </w:tc>
        <w:tc>
          <w:tcPr>
            <w:tcW w:w="361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Remove/alter data due to greivence with the company</w:t>
            </w:r>
          </w:p>
        </w:tc>
        <w:tc>
          <w:tcPr>
            <w:tcW w:w="13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bl>
    <w:p>
      <w:pPr>
        <w:pStyle w:val="Heading1"/>
        <w:keepNext w:val="false"/>
        <w:keepLines w:val="false"/>
        <w:spacing w:lineRule="auto" w:line="240" w:before="480" w:after="0"/>
        <w:rPr>
          <w:rFonts w:ascii="Proxima Nova" w:hAnsi="Proxima Nova" w:eastAsia="Proxima Nova" w:cs="Proxima Nova"/>
          <w:b/>
          <w:color w:val="353744"/>
          <w:sz w:val="28"/>
          <w:szCs w:val="28"/>
        </w:rPr>
      </w:pPr>
      <w:bookmarkStart w:id="7" w:name="_a9ivkvfuz16w"/>
      <w:bookmarkEnd w:id="7"/>
      <w:r>
        <w:rPr>
          <w:rFonts w:eastAsia="Proxima Nova" w:cs="Proxima Nova" w:ascii="Proxima Nova" w:hAnsi="Proxima Nova"/>
          <w:b/>
          <w:color w:val="353744"/>
          <w:sz w:val="28"/>
          <w:szCs w:val="28"/>
        </w:rPr>
        <w:t>Approach</w:t>
      </w:r>
    </w:p>
    <w:p>
      <w:pPr>
        <w:pStyle w:val="normal1"/>
        <w:spacing w:lineRule="auto" w:line="240" w:beforeAutospacing="0" w:before="0" w:after="0"/>
        <w:ind w:hanging="360" w:left="720"/>
        <w:rPr>
          <w:rFonts w:ascii="Google Sans" w:hAnsi="Google Sans" w:eastAsia="Google Sans" w:cs="Google Sans"/>
          <w:i/>
          <w:i/>
          <w:color w:val="353744"/>
        </w:rPr>
      </w:pPr>
      <w:r>
        <w:rPr>
          <w:rFonts w:eastAsia="Google Sans" w:cs="Google Sans" w:ascii="Google Sans" w:hAnsi="Google Sans"/>
          <w:i/>
          <w:color w:val="353744"/>
        </w:rPr>
      </w:r>
    </w:p>
    <w:p>
      <w:pPr>
        <w:pStyle w:val="normal1"/>
        <w:spacing w:lineRule="auto" w:line="240" w:beforeAutospacing="0" w:before="0" w:after="0"/>
        <w:ind w:hanging="360" w:left="720"/>
        <w:rPr>
          <w:rFonts w:ascii="Google Sans" w:hAnsi="Google Sans" w:eastAsia="Google Sans" w:cs="Google Sans"/>
          <w:i/>
          <w:i/>
          <w:color w:val="353744"/>
        </w:rPr>
      </w:pPr>
      <w:r>
        <w:rPr>
          <w:rFonts w:eastAsia="Google Sans" w:cs="Google Sans" w:ascii="Google Sans" w:hAnsi="Google Sans"/>
          <w:i/>
          <w:color w:val="353744"/>
        </w:rPr>
        <w:t xml:space="preserve">With out knowing any other information about the environment that the database servers currently runs in, this assumes that the a general level of standard security practices are in place for the network the organization is operating, like Defense in depth, etc. These suggestions are target the weakest area of security, the human factor. Ensuring that the proper controls are in place and working will ensure that the companies sensitive data is kept secure. </w:t>
      </w:r>
    </w:p>
    <w:p>
      <w:pPr>
        <w:pStyle w:val="Heading1"/>
        <w:keepNext w:val="false"/>
        <w:keepLines w:val="false"/>
        <w:spacing w:lineRule="auto" w:line="240" w:before="480" w:after="0"/>
        <w:rPr>
          <w:rFonts w:ascii="Proxima Nova" w:hAnsi="Proxima Nova" w:eastAsia="Proxima Nova" w:cs="Proxima Nova"/>
          <w:b/>
          <w:color w:val="353744"/>
          <w:sz w:val="28"/>
          <w:szCs w:val="28"/>
        </w:rPr>
      </w:pPr>
      <w:bookmarkStart w:id="8" w:name="_vf6vykh0xvv7"/>
      <w:bookmarkEnd w:id="8"/>
      <w:r>
        <w:rPr>
          <w:rFonts w:eastAsia="Proxima Nova" w:cs="Proxima Nova" w:ascii="Proxima Nova" w:hAnsi="Proxima Nova"/>
          <w:b/>
          <w:color w:val="353744"/>
          <w:sz w:val="28"/>
          <w:szCs w:val="28"/>
        </w:rPr>
        <w:t>Remediation Strategy</w:t>
      </w:r>
    </w:p>
    <w:p>
      <w:pPr>
        <w:pStyle w:val="normal1"/>
        <w:spacing w:lineRule="auto" w:line="240" w:beforeAutospacing="0" w:before="0" w:after="0"/>
        <w:ind w:hanging="360" w:left="720"/>
        <w:rPr>
          <w:rFonts w:ascii="Google Sans" w:hAnsi="Google Sans" w:eastAsia="Google Sans" w:cs="Google Sans"/>
          <w:i/>
          <w:i/>
          <w:color w:val="353744"/>
        </w:rPr>
      </w:pPr>
      <w:r>
        <w:rPr>
          <w:rFonts w:eastAsia="Google Sans" w:cs="Google Sans" w:ascii="Google Sans" w:hAnsi="Google Sans"/>
          <w:i/>
          <w:color w:val="353744"/>
        </w:rPr>
        <w:t xml:space="preserve">The following controls should be implemented for better operational oversight and securing the data stored on the database sever. </w:t>
      </w:r>
    </w:p>
    <w:p>
      <w:pPr>
        <w:pStyle w:val="normal1"/>
        <w:numPr>
          <w:ilvl w:val="0"/>
          <w:numId w:val="1"/>
        </w:numPr>
        <w:rPr/>
      </w:pPr>
      <w:r>
        <w:rPr/>
        <w:t xml:space="preserve">Implement </w:t>
      </w:r>
      <w:r>
        <w:rPr/>
        <w:t xml:space="preserve">Authentication, Authorization, Accounting (AAA) framework </w:t>
      </w:r>
      <w:r>
        <w:rPr/>
        <w:t xml:space="preserve">for accessing the server and\or its data </w:t>
      </w:r>
    </w:p>
    <w:p>
      <w:pPr>
        <w:pStyle w:val="normal1"/>
        <w:numPr>
          <w:ilvl w:val="0"/>
          <w:numId w:val="1"/>
        </w:numPr>
        <w:rPr/>
      </w:pPr>
      <w:r>
        <w:rPr/>
        <w:t xml:space="preserve">Develop and implement </w:t>
      </w:r>
      <w:r>
        <w:rPr/>
        <w:t xml:space="preserve">Principle of least privilege </w:t>
      </w:r>
      <w:r>
        <w:rPr/>
        <w:t>based on role(s) in the organization.</w:t>
      </w:r>
    </w:p>
    <w:p>
      <w:pPr>
        <w:pStyle w:val="normal1"/>
        <w:numPr>
          <w:ilvl w:val="0"/>
          <w:numId w:val="1"/>
        </w:numPr>
        <w:rPr/>
      </w:pPr>
      <w:r>
        <w:rPr/>
        <w:t xml:space="preserve">Consider implementing </w:t>
      </w:r>
      <w:r>
        <w:rPr/>
        <w:t xml:space="preserve"> Multi-factor authentication (MFA) </w:t>
      </w:r>
      <w:r>
        <w:rPr/>
        <w:t xml:space="preserve">for users performing admin level functions on the server or the database. </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 w:name="Proxima Nov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LibreOffice/25.2.5.2$Windows_X86_64 LibreOffice_project/03d19516eb2e1dd5d4ccd751a0d6f35f35e08022</Application>
  <AppVersion>15.0000</AppVersion>
  <Pages>2</Pages>
  <Words>384</Words>
  <Characters>2089</Characters>
  <CharactersWithSpaces>2430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2025-09-11T09:45:29Z</dcterms:modified>
  <cp:revision>3</cp:revision>
  <dc:subject/>
  <dc:title/>
</cp:coreProperties>
</file>