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8EC171" w14:textId="77777777" w:rsidR="005F76BD" w:rsidRDefault="005F76BD" w:rsidP="005F76BD">
      <w:pPr>
        <w:autoSpaceDE w:val="0"/>
        <w:autoSpaceDN w:val="0"/>
        <w:adjustRightInd w:val="0"/>
        <w:jc w:val="center"/>
        <w:rPr>
          <w:b/>
          <w:bCs/>
          <w:color w:val="000000"/>
        </w:rPr>
      </w:pPr>
    </w:p>
    <w:p w14:paraId="6AA003EF" w14:textId="77777777" w:rsidR="005F76BD" w:rsidRDefault="005F76BD" w:rsidP="005F76BD">
      <w:pPr>
        <w:autoSpaceDE w:val="0"/>
        <w:autoSpaceDN w:val="0"/>
        <w:adjustRightInd w:val="0"/>
        <w:jc w:val="center"/>
        <w:rPr>
          <w:b/>
          <w:bCs/>
          <w:color w:val="000000"/>
        </w:rPr>
      </w:pPr>
    </w:p>
    <w:p w14:paraId="17C3D9A5" w14:textId="77777777" w:rsidR="005F76BD" w:rsidRDefault="005F76BD" w:rsidP="005F76BD">
      <w:pPr>
        <w:autoSpaceDE w:val="0"/>
        <w:autoSpaceDN w:val="0"/>
        <w:adjustRightInd w:val="0"/>
        <w:jc w:val="center"/>
        <w:rPr>
          <w:b/>
          <w:bCs/>
          <w:color w:val="000000"/>
        </w:rPr>
      </w:pPr>
    </w:p>
    <w:p w14:paraId="4F813F0B" w14:textId="77777777" w:rsidR="005F76BD" w:rsidRDefault="005F76BD" w:rsidP="005F76BD">
      <w:pPr>
        <w:autoSpaceDE w:val="0"/>
        <w:autoSpaceDN w:val="0"/>
        <w:adjustRightInd w:val="0"/>
        <w:jc w:val="center"/>
        <w:rPr>
          <w:b/>
          <w:bCs/>
          <w:color w:val="000000"/>
        </w:rPr>
      </w:pPr>
    </w:p>
    <w:p w14:paraId="2C5C7A5D" w14:textId="77777777" w:rsidR="005F76BD" w:rsidRDefault="005F76BD" w:rsidP="005F76BD">
      <w:pPr>
        <w:autoSpaceDE w:val="0"/>
        <w:autoSpaceDN w:val="0"/>
        <w:adjustRightInd w:val="0"/>
        <w:jc w:val="center"/>
        <w:rPr>
          <w:b/>
          <w:bCs/>
          <w:color w:val="000000"/>
        </w:rPr>
      </w:pPr>
    </w:p>
    <w:p w14:paraId="72CF14CE" w14:textId="1E6739AF" w:rsidR="005F76BD" w:rsidRDefault="005F76BD" w:rsidP="005F76BD">
      <w:pPr>
        <w:autoSpaceDE w:val="0"/>
        <w:autoSpaceDN w:val="0"/>
        <w:adjustRightInd w:val="0"/>
        <w:jc w:val="center"/>
        <w:rPr>
          <w:color w:val="000000"/>
        </w:rPr>
      </w:pPr>
      <w:r>
        <w:rPr>
          <w:b/>
          <w:bCs/>
          <w:color w:val="000000"/>
        </w:rPr>
        <w:t xml:space="preserve">Role of </w:t>
      </w:r>
      <w:r w:rsidR="002E3251">
        <w:rPr>
          <w:b/>
          <w:bCs/>
          <w:color w:val="000000"/>
        </w:rPr>
        <w:t xml:space="preserve">kinases MAP2K1, PDHK and NEK1 </w:t>
      </w:r>
      <w:r>
        <w:rPr>
          <w:b/>
          <w:bCs/>
          <w:color w:val="000000"/>
        </w:rPr>
        <w:t>on Hedgehog Signaling Activation</w:t>
      </w:r>
    </w:p>
    <w:p w14:paraId="0D5E0692" w14:textId="77777777" w:rsidR="005F76BD" w:rsidRDefault="005F76BD" w:rsidP="005F76BD">
      <w:pPr>
        <w:autoSpaceDE w:val="0"/>
        <w:autoSpaceDN w:val="0"/>
        <w:adjustRightInd w:val="0"/>
        <w:jc w:val="center"/>
        <w:rPr>
          <w:color w:val="000000"/>
        </w:rPr>
      </w:pPr>
      <w:r>
        <w:rPr>
          <w:b/>
          <w:bCs/>
          <w:color w:val="000000"/>
        </w:rPr>
        <w:t> </w:t>
      </w:r>
    </w:p>
    <w:p w14:paraId="6B2EB985" w14:textId="77777777" w:rsidR="005F76BD" w:rsidRDefault="005F76BD" w:rsidP="005F76BD">
      <w:pPr>
        <w:autoSpaceDE w:val="0"/>
        <w:autoSpaceDN w:val="0"/>
        <w:adjustRightInd w:val="0"/>
        <w:jc w:val="center"/>
        <w:rPr>
          <w:color w:val="000000"/>
        </w:rPr>
      </w:pPr>
      <w:r>
        <w:rPr>
          <w:b/>
          <w:bCs/>
          <w:color w:val="000000"/>
        </w:rPr>
        <w:t> </w:t>
      </w:r>
    </w:p>
    <w:p w14:paraId="7A902324" w14:textId="77777777" w:rsidR="005F76BD" w:rsidRDefault="005F76BD" w:rsidP="005F76BD">
      <w:pPr>
        <w:autoSpaceDE w:val="0"/>
        <w:autoSpaceDN w:val="0"/>
        <w:adjustRightInd w:val="0"/>
        <w:jc w:val="center"/>
        <w:rPr>
          <w:color w:val="000000"/>
        </w:rPr>
      </w:pPr>
      <w:r>
        <w:rPr>
          <w:b/>
          <w:bCs/>
          <w:color w:val="000000"/>
        </w:rPr>
        <w:t> </w:t>
      </w:r>
    </w:p>
    <w:p w14:paraId="06A117CA" w14:textId="77777777" w:rsidR="005F76BD" w:rsidRDefault="005F76BD" w:rsidP="005F76BD">
      <w:pPr>
        <w:autoSpaceDE w:val="0"/>
        <w:autoSpaceDN w:val="0"/>
        <w:adjustRightInd w:val="0"/>
        <w:jc w:val="center"/>
        <w:rPr>
          <w:color w:val="000000"/>
        </w:rPr>
      </w:pPr>
      <w:r>
        <w:rPr>
          <w:b/>
          <w:bCs/>
          <w:color w:val="000000"/>
        </w:rPr>
        <w:t> </w:t>
      </w:r>
    </w:p>
    <w:p w14:paraId="6D1A4FA9" w14:textId="77777777" w:rsidR="005F76BD" w:rsidRDefault="005F76BD" w:rsidP="005F76BD">
      <w:pPr>
        <w:autoSpaceDE w:val="0"/>
        <w:autoSpaceDN w:val="0"/>
        <w:adjustRightInd w:val="0"/>
        <w:jc w:val="center"/>
        <w:rPr>
          <w:color w:val="000000"/>
        </w:rPr>
      </w:pPr>
      <w:r>
        <w:rPr>
          <w:b/>
          <w:bCs/>
          <w:color w:val="000000"/>
        </w:rPr>
        <w:t> </w:t>
      </w:r>
    </w:p>
    <w:p w14:paraId="256EF7D7" w14:textId="77777777" w:rsidR="005F76BD" w:rsidRDefault="005F76BD" w:rsidP="005F76BD">
      <w:pPr>
        <w:autoSpaceDE w:val="0"/>
        <w:autoSpaceDN w:val="0"/>
        <w:adjustRightInd w:val="0"/>
        <w:spacing w:after="240"/>
        <w:rPr>
          <w:color w:val="000000"/>
        </w:rPr>
      </w:pPr>
    </w:p>
    <w:p w14:paraId="2D26A6E2" w14:textId="77777777" w:rsidR="005F76BD" w:rsidRDefault="005F76BD" w:rsidP="005F76BD">
      <w:pPr>
        <w:autoSpaceDE w:val="0"/>
        <w:autoSpaceDN w:val="0"/>
        <w:adjustRightInd w:val="0"/>
        <w:spacing w:after="240"/>
        <w:rPr>
          <w:color w:val="000000"/>
        </w:rPr>
      </w:pPr>
    </w:p>
    <w:p w14:paraId="3EDCF349" w14:textId="77777777" w:rsidR="005F76BD" w:rsidRDefault="005F76BD" w:rsidP="005F76BD">
      <w:pPr>
        <w:autoSpaceDE w:val="0"/>
        <w:autoSpaceDN w:val="0"/>
        <w:adjustRightInd w:val="0"/>
        <w:spacing w:after="240"/>
        <w:rPr>
          <w:color w:val="000000"/>
        </w:rPr>
      </w:pPr>
    </w:p>
    <w:p w14:paraId="3D6E006D" w14:textId="77777777" w:rsidR="005F76BD" w:rsidRDefault="005F76BD" w:rsidP="005F76BD">
      <w:pPr>
        <w:autoSpaceDE w:val="0"/>
        <w:autoSpaceDN w:val="0"/>
        <w:adjustRightInd w:val="0"/>
        <w:spacing w:after="240"/>
        <w:rPr>
          <w:color w:val="000000"/>
        </w:rPr>
      </w:pPr>
    </w:p>
    <w:p w14:paraId="40132552" w14:textId="77777777" w:rsidR="005F76BD" w:rsidRDefault="005F76BD" w:rsidP="005F76BD">
      <w:pPr>
        <w:autoSpaceDE w:val="0"/>
        <w:autoSpaceDN w:val="0"/>
        <w:adjustRightInd w:val="0"/>
        <w:spacing w:after="240"/>
        <w:rPr>
          <w:color w:val="000000"/>
        </w:rPr>
      </w:pPr>
    </w:p>
    <w:p w14:paraId="398B9ED2" w14:textId="77777777" w:rsidR="005F76BD" w:rsidRDefault="005F76BD" w:rsidP="005F76BD">
      <w:pPr>
        <w:autoSpaceDE w:val="0"/>
        <w:autoSpaceDN w:val="0"/>
        <w:adjustRightInd w:val="0"/>
        <w:jc w:val="center"/>
        <w:rPr>
          <w:color w:val="000000"/>
        </w:rPr>
      </w:pPr>
      <w:r>
        <w:rPr>
          <w:b/>
          <w:bCs/>
          <w:color w:val="000000"/>
        </w:rPr>
        <w:t> </w:t>
      </w:r>
    </w:p>
    <w:p w14:paraId="3C58A493" w14:textId="77777777" w:rsidR="005F76BD" w:rsidRDefault="005F76BD" w:rsidP="005F76BD">
      <w:pPr>
        <w:autoSpaceDE w:val="0"/>
        <w:autoSpaceDN w:val="0"/>
        <w:adjustRightInd w:val="0"/>
        <w:jc w:val="center"/>
        <w:rPr>
          <w:b/>
          <w:bCs/>
          <w:color w:val="000000"/>
        </w:rPr>
      </w:pPr>
      <w:r>
        <w:rPr>
          <w:b/>
          <w:bCs/>
          <w:color w:val="000000"/>
        </w:rPr>
        <w:t> </w:t>
      </w:r>
    </w:p>
    <w:p w14:paraId="2FAE5D6A" w14:textId="77777777" w:rsidR="005F76BD" w:rsidRDefault="005F76BD" w:rsidP="005F76BD">
      <w:pPr>
        <w:autoSpaceDE w:val="0"/>
        <w:autoSpaceDN w:val="0"/>
        <w:adjustRightInd w:val="0"/>
        <w:jc w:val="center"/>
        <w:rPr>
          <w:color w:val="000000"/>
        </w:rPr>
      </w:pPr>
    </w:p>
    <w:p w14:paraId="4F428652" w14:textId="77777777" w:rsidR="005F76BD" w:rsidRDefault="005F76BD" w:rsidP="005F76BD">
      <w:pPr>
        <w:autoSpaceDE w:val="0"/>
        <w:autoSpaceDN w:val="0"/>
        <w:adjustRightInd w:val="0"/>
        <w:jc w:val="center"/>
        <w:rPr>
          <w:color w:val="000000"/>
        </w:rPr>
      </w:pPr>
      <w:r>
        <w:rPr>
          <w:b/>
          <w:bCs/>
          <w:color w:val="000000"/>
        </w:rPr>
        <w:t> </w:t>
      </w:r>
    </w:p>
    <w:p w14:paraId="4627D753" w14:textId="77777777" w:rsidR="005F76BD" w:rsidRDefault="005F76BD" w:rsidP="005F76BD">
      <w:pPr>
        <w:autoSpaceDE w:val="0"/>
        <w:autoSpaceDN w:val="0"/>
        <w:adjustRightInd w:val="0"/>
        <w:jc w:val="center"/>
        <w:rPr>
          <w:color w:val="000000"/>
        </w:rPr>
      </w:pPr>
      <w:r>
        <w:rPr>
          <w:b/>
          <w:bCs/>
          <w:color w:val="000000"/>
        </w:rPr>
        <w:t>Paige Halas</w:t>
      </w:r>
    </w:p>
    <w:p w14:paraId="017C5556" w14:textId="77777777" w:rsidR="005F76BD" w:rsidRDefault="005F76BD" w:rsidP="005F76BD">
      <w:pPr>
        <w:autoSpaceDE w:val="0"/>
        <w:autoSpaceDN w:val="0"/>
        <w:adjustRightInd w:val="0"/>
        <w:jc w:val="center"/>
        <w:rPr>
          <w:color w:val="000000"/>
        </w:rPr>
      </w:pPr>
      <w:r>
        <w:rPr>
          <w:b/>
          <w:bCs/>
          <w:color w:val="000000"/>
        </w:rPr>
        <w:t>Graduate Program in Cellular &amp; Molecular Biosciences</w:t>
      </w:r>
    </w:p>
    <w:p w14:paraId="19E270FA" w14:textId="77777777" w:rsidR="005F76BD" w:rsidRDefault="005F76BD" w:rsidP="005F76BD">
      <w:pPr>
        <w:autoSpaceDE w:val="0"/>
        <w:autoSpaceDN w:val="0"/>
        <w:adjustRightInd w:val="0"/>
        <w:jc w:val="center"/>
        <w:rPr>
          <w:color w:val="000000"/>
        </w:rPr>
      </w:pPr>
      <w:r>
        <w:rPr>
          <w:b/>
          <w:bCs/>
          <w:color w:val="000000"/>
        </w:rPr>
        <w:t>University of California, Irvine</w:t>
      </w:r>
    </w:p>
    <w:p w14:paraId="1F14EB29" w14:textId="77777777" w:rsidR="005F76BD" w:rsidRDefault="005F76BD" w:rsidP="005F76BD">
      <w:pPr>
        <w:autoSpaceDE w:val="0"/>
        <w:autoSpaceDN w:val="0"/>
        <w:adjustRightInd w:val="0"/>
        <w:jc w:val="center"/>
        <w:rPr>
          <w:color w:val="000000"/>
        </w:rPr>
      </w:pPr>
      <w:r>
        <w:rPr>
          <w:b/>
          <w:bCs/>
          <w:color w:val="000000"/>
        </w:rPr>
        <w:t>Fall 2019 Rotation Report</w:t>
      </w:r>
    </w:p>
    <w:p w14:paraId="008E35B0" w14:textId="77777777" w:rsidR="005F76BD" w:rsidRDefault="005F76BD" w:rsidP="005F76BD">
      <w:pPr>
        <w:autoSpaceDE w:val="0"/>
        <w:autoSpaceDN w:val="0"/>
        <w:adjustRightInd w:val="0"/>
        <w:jc w:val="center"/>
        <w:rPr>
          <w:color w:val="000000"/>
        </w:rPr>
      </w:pPr>
      <w:r>
        <w:rPr>
          <w:rFonts w:ascii="Arial" w:hAnsi="Arial" w:cs="Arial"/>
          <w:color w:val="000000"/>
        </w:rPr>
        <w:t> </w:t>
      </w:r>
    </w:p>
    <w:p w14:paraId="6AAE5C17" w14:textId="77777777" w:rsidR="005F76BD" w:rsidRDefault="005F76BD" w:rsidP="005F76BD">
      <w:pPr>
        <w:autoSpaceDE w:val="0"/>
        <w:autoSpaceDN w:val="0"/>
        <w:adjustRightInd w:val="0"/>
        <w:jc w:val="center"/>
        <w:rPr>
          <w:color w:val="000000"/>
        </w:rPr>
      </w:pPr>
      <w:r>
        <w:rPr>
          <w:rFonts w:ascii="Arial" w:hAnsi="Arial" w:cs="Arial"/>
          <w:color w:val="000000"/>
        </w:rPr>
        <w:t> </w:t>
      </w:r>
    </w:p>
    <w:p w14:paraId="3E0FDAED" w14:textId="77777777" w:rsidR="005F76BD" w:rsidRDefault="005F76BD" w:rsidP="005F76BD">
      <w:pPr>
        <w:autoSpaceDE w:val="0"/>
        <w:autoSpaceDN w:val="0"/>
        <w:adjustRightInd w:val="0"/>
        <w:rPr>
          <w:color w:val="000000"/>
        </w:rPr>
      </w:pPr>
      <w:r>
        <w:rPr>
          <w:color w:val="000000"/>
        </w:rPr>
        <w:t>This report was written by the student, has a distinct and reachable goal, and represents a reasonable amount of work for one rotation project earning 4 units of academic credit. The student will learn new techniques and approaches consistent with the goals of the rotation program.</w:t>
      </w:r>
    </w:p>
    <w:p w14:paraId="014E8766" w14:textId="77777777" w:rsidR="005F76BD" w:rsidRDefault="005F76BD" w:rsidP="005F76BD">
      <w:pPr>
        <w:autoSpaceDE w:val="0"/>
        <w:autoSpaceDN w:val="0"/>
        <w:adjustRightInd w:val="0"/>
        <w:rPr>
          <w:color w:val="000000"/>
        </w:rPr>
      </w:pPr>
      <w:r>
        <w:rPr>
          <w:color w:val="000000"/>
        </w:rPr>
        <w:t> </w:t>
      </w:r>
    </w:p>
    <w:p w14:paraId="3CAD0A9A" w14:textId="77777777" w:rsidR="005F76BD" w:rsidRDefault="005F76BD" w:rsidP="005F76BD">
      <w:pPr>
        <w:autoSpaceDE w:val="0"/>
        <w:autoSpaceDN w:val="0"/>
        <w:adjustRightInd w:val="0"/>
        <w:rPr>
          <w:color w:val="000000"/>
          <w:u w:color="000000"/>
        </w:rPr>
      </w:pPr>
      <w:r>
        <w:rPr>
          <w:color w:val="000000"/>
        </w:rPr>
        <w:t xml:space="preserve">Rotation Supervisor’s Name: </w:t>
      </w:r>
      <w:r>
        <w:rPr>
          <w:color w:val="000000"/>
          <w:u w:val="single" w:color="000000"/>
        </w:rPr>
        <w:t>Dr. Scott Atwood</w:t>
      </w:r>
    </w:p>
    <w:p w14:paraId="557C98C7" w14:textId="77777777" w:rsidR="005F76BD" w:rsidRDefault="005F76BD" w:rsidP="005F76BD">
      <w:pPr>
        <w:autoSpaceDE w:val="0"/>
        <w:autoSpaceDN w:val="0"/>
        <w:adjustRightInd w:val="0"/>
        <w:rPr>
          <w:color w:val="000000"/>
          <w:u w:color="000000"/>
        </w:rPr>
      </w:pPr>
      <w:r>
        <w:rPr>
          <w:color w:val="000000"/>
          <w:u w:color="000000"/>
        </w:rPr>
        <w:t> </w:t>
      </w:r>
    </w:p>
    <w:p w14:paraId="27FDDFA3" w14:textId="77777777" w:rsidR="005F76BD" w:rsidRDefault="005F76BD" w:rsidP="005F76BD">
      <w:pPr>
        <w:autoSpaceDE w:val="0"/>
        <w:autoSpaceDN w:val="0"/>
        <w:adjustRightInd w:val="0"/>
        <w:rPr>
          <w:color w:val="000000"/>
          <w:u w:color="000000"/>
        </w:rPr>
      </w:pPr>
      <w:r>
        <w:rPr>
          <w:color w:val="000000"/>
          <w:u w:color="000000"/>
        </w:rPr>
        <w:t> </w:t>
      </w:r>
    </w:p>
    <w:p w14:paraId="517945C8" w14:textId="77777777" w:rsidR="005F76BD" w:rsidRDefault="005F76BD" w:rsidP="005F76BD">
      <w:pPr>
        <w:autoSpaceDE w:val="0"/>
        <w:autoSpaceDN w:val="0"/>
        <w:adjustRightInd w:val="0"/>
        <w:rPr>
          <w:color w:val="000000"/>
          <w:u w:color="000000"/>
        </w:rPr>
      </w:pPr>
      <w:r>
        <w:rPr>
          <w:color w:val="000000"/>
          <w:u w:color="000000"/>
        </w:rPr>
        <w:t> Signed____________________________________</w:t>
      </w:r>
      <w:proofErr w:type="gramStart"/>
      <w:r>
        <w:rPr>
          <w:color w:val="000000"/>
          <w:u w:color="000000"/>
        </w:rPr>
        <w:t>_  Date</w:t>
      </w:r>
      <w:proofErr w:type="gramEnd"/>
      <w:r>
        <w:rPr>
          <w:color w:val="000000"/>
          <w:u w:color="000000"/>
        </w:rPr>
        <w:t xml:space="preserve"> __________</w:t>
      </w:r>
    </w:p>
    <w:p w14:paraId="3476F421" w14:textId="77777777" w:rsidR="005F76BD" w:rsidRDefault="005F76BD" w:rsidP="005F76BD">
      <w:pPr>
        <w:autoSpaceDE w:val="0"/>
        <w:autoSpaceDN w:val="0"/>
        <w:adjustRightInd w:val="0"/>
        <w:rPr>
          <w:color w:val="000000"/>
          <w:u w:color="000000"/>
        </w:rPr>
      </w:pPr>
      <w:r>
        <w:rPr>
          <w:color w:val="000000"/>
          <w:u w:color="000000"/>
        </w:rPr>
        <w:t> </w:t>
      </w:r>
    </w:p>
    <w:p w14:paraId="52807419" w14:textId="77777777" w:rsidR="005F76BD" w:rsidRDefault="005F76BD" w:rsidP="005F76BD">
      <w:pPr>
        <w:autoSpaceDE w:val="0"/>
        <w:autoSpaceDN w:val="0"/>
        <w:adjustRightInd w:val="0"/>
        <w:rPr>
          <w:color w:val="000000"/>
          <w:u w:color="000000"/>
        </w:rPr>
      </w:pPr>
      <w:r>
        <w:rPr>
          <w:color w:val="000000"/>
          <w:u w:color="000000"/>
        </w:rPr>
        <w:t> </w:t>
      </w:r>
    </w:p>
    <w:p w14:paraId="24F2C251" w14:textId="77777777" w:rsidR="005F76BD" w:rsidRDefault="005F76BD" w:rsidP="005F76BD">
      <w:pPr>
        <w:autoSpaceDE w:val="0"/>
        <w:autoSpaceDN w:val="0"/>
        <w:adjustRightInd w:val="0"/>
        <w:rPr>
          <w:color w:val="000000"/>
          <w:u w:color="000000"/>
        </w:rPr>
      </w:pPr>
      <w:r>
        <w:rPr>
          <w:color w:val="000000"/>
          <w:u w:color="000000"/>
        </w:rPr>
        <w:t xml:space="preserve">Faculty Advisor’s Name: </w:t>
      </w:r>
      <w:r>
        <w:rPr>
          <w:color w:val="000000"/>
          <w:u w:val="single" w:color="000000"/>
        </w:rPr>
        <w:t>Dr. Eric Pearlman</w:t>
      </w:r>
    </w:p>
    <w:p w14:paraId="10157219" w14:textId="77777777" w:rsidR="005F76BD" w:rsidRDefault="005F76BD" w:rsidP="005F76BD">
      <w:pPr>
        <w:autoSpaceDE w:val="0"/>
        <w:autoSpaceDN w:val="0"/>
        <w:adjustRightInd w:val="0"/>
        <w:rPr>
          <w:color w:val="000000"/>
          <w:u w:color="000000"/>
        </w:rPr>
      </w:pPr>
      <w:r>
        <w:rPr>
          <w:color w:val="000000"/>
          <w:u w:color="000000"/>
        </w:rPr>
        <w:t> </w:t>
      </w:r>
    </w:p>
    <w:p w14:paraId="21C6E64D" w14:textId="77777777" w:rsidR="005F76BD" w:rsidRDefault="005F76BD" w:rsidP="005F76BD">
      <w:pPr>
        <w:autoSpaceDE w:val="0"/>
        <w:autoSpaceDN w:val="0"/>
        <w:adjustRightInd w:val="0"/>
        <w:rPr>
          <w:color w:val="000000"/>
          <w:u w:color="000000"/>
        </w:rPr>
      </w:pPr>
      <w:r>
        <w:rPr>
          <w:color w:val="000000"/>
          <w:u w:color="000000"/>
        </w:rPr>
        <w:t> </w:t>
      </w:r>
    </w:p>
    <w:p w14:paraId="667DDACF" w14:textId="77777777" w:rsidR="005F76BD" w:rsidRDefault="005F76BD" w:rsidP="005F76BD">
      <w:pPr>
        <w:autoSpaceDE w:val="0"/>
        <w:autoSpaceDN w:val="0"/>
        <w:adjustRightInd w:val="0"/>
        <w:rPr>
          <w:color w:val="000000"/>
          <w:u w:color="000000"/>
        </w:rPr>
      </w:pPr>
      <w:r>
        <w:rPr>
          <w:color w:val="000000"/>
          <w:u w:color="000000"/>
        </w:rPr>
        <w:t>Signed____________________________________</w:t>
      </w:r>
      <w:proofErr w:type="gramStart"/>
      <w:r>
        <w:rPr>
          <w:color w:val="000000"/>
          <w:u w:color="000000"/>
        </w:rPr>
        <w:t>_  Date</w:t>
      </w:r>
      <w:proofErr w:type="gramEnd"/>
      <w:r>
        <w:rPr>
          <w:color w:val="000000"/>
          <w:u w:color="000000"/>
        </w:rPr>
        <w:t xml:space="preserve"> __________</w:t>
      </w:r>
    </w:p>
    <w:p w14:paraId="7369F075" w14:textId="77777777" w:rsidR="002B0389" w:rsidRDefault="002B0389" w:rsidP="005F76BD">
      <w:pPr>
        <w:autoSpaceDE w:val="0"/>
        <w:autoSpaceDN w:val="0"/>
        <w:adjustRightInd w:val="0"/>
        <w:rPr>
          <w:b/>
          <w:bCs/>
          <w:color w:val="000000"/>
          <w:u w:color="000000"/>
        </w:rPr>
      </w:pPr>
    </w:p>
    <w:p w14:paraId="463F2AF2" w14:textId="554FD9F8" w:rsidR="00655776" w:rsidRDefault="005F76BD" w:rsidP="005F76BD">
      <w:pPr>
        <w:autoSpaceDE w:val="0"/>
        <w:autoSpaceDN w:val="0"/>
        <w:adjustRightInd w:val="0"/>
        <w:rPr>
          <w:b/>
          <w:bCs/>
          <w:color w:val="000000"/>
          <w:u w:color="000000"/>
        </w:rPr>
      </w:pPr>
      <w:r>
        <w:rPr>
          <w:b/>
          <w:bCs/>
          <w:color w:val="000000"/>
          <w:u w:color="000000"/>
        </w:rPr>
        <w:lastRenderedPageBreak/>
        <w:t>Introduction</w:t>
      </w:r>
    </w:p>
    <w:p w14:paraId="28D7A0B7" w14:textId="5C6CFDAE" w:rsidR="00FC6681" w:rsidRDefault="005F76BD" w:rsidP="00937767">
      <w:pPr>
        <w:autoSpaceDE w:val="0"/>
        <w:autoSpaceDN w:val="0"/>
        <w:adjustRightInd w:val="0"/>
        <w:ind w:firstLine="720"/>
        <w:rPr>
          <w:color w:val="000000"/>
          <w:u w:color="000000"/>
        </w:rPr>
      </w:pPr>
      <w:r>
        <w:rPr>
          <w:color w:val="000000"/>
          <w:u w:color="000000"/>
        </w:rPr>
        <w:t xml:space="preserve">Basal Cell Carcinoma (BCC) is the most </w:t>
      </w:r>
      <w:r w:rsidR="00ED6ECE">
        <w:rPr>
          <w:color w:val="000000"/>
          <w:u w:color="000000"/>
        </w:rPr>
        <w:t xml:space="preserve">abundant </w:t>
      </w:r>
      <w:r w:rsidR="00CF2792">
        <w:rPr>
          <w:color w:val="000000"/>
          <w:u w:color="000000"/>
        </w:rPr>
        <w:t>skin cancer in the US with 4 million diagnos</w:t>
      </w:r>
      <w:r w:rsidR="00910310">
        <w:rPr>
          <w:color w:val="000000"/>
          <w:u w:color="000000"/>
        </w:rPr>
        <w:t>e</w:t>
      </w:r>
      <w:r w:rsidR="00CF2792">
        <w:rPr>
          <w:color w:val="000000"/>
          <w:u w:color="000000"/>
        </w:rPr>
        <w:t>s a year</w:t>
      </w:r>
      <w:r w:rsidR="00937767">
        <w:rPr>
          <w:color w:val="000000"/>
          <w:u w:color="000000"/>
        </w:rPr>
        <w:t xml:space="preserve"> and a high reoccurrence rate following successful treatment</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{"citationID":"OVZk0loT","properties":{"formattedCitation":"\\super 1\\nosupersub{}","plainCitation":"1","noteIndex":0},"citationItems":[{"id":75,"uris":["http://zotero.org/users/local/v5TN90UQ/items/BH3K8PPT"],"uri":["http://zotero.org/users/local/v5TN90UQ/items/BH3K8PPT"],"itemData":{"id":75,"type":"post-weblog","title":"Basal Cell Carcinoma","container-title":"The Skin Cancer Foundation","abstract":"Get the facts about basal cell carcinoma (BCC), the most common form of skin cancer, along with answers to your questions, images and helpful resources.","URL":"https://www.skincancer.org/skin-cancer-information/basal-cell-carcinoma/","language":"en-US","accessed":{"date-parts":[["2019",12,3]]}}}],"schema":"https://github.com/citation-style-language/schema/raw/master/csl-citation.json"} </w:instrText>
      </w:r>
      <w:r w:rsidR="00910310">
        <w:rPr>
          <w:color w:val="000000"/>
          <w:u w:color="000000"/>
        </w:rPr>
        <w:fldChar w:fldCharType="separate"/>
      </w:r>
      <w:r w:rsidR="00910310" w:rsidRPr="00910310">
        <w:rPr>
          <w:color w:val="000000"/>
          <w:vertAlign w:val="superscript"/>
        </w:rPr>
        <w:t>1</w:t>
      </w:r>
      <w:r w:rsidR="00910310">
        <w:rPr>
          <w:color w:val="000000"/>
          <w:u w:color="000000"/>
        </w:rPr>
        <w:fldChar w:fldCharType="end"/>
      </w:r>
      <w:r>
        <w:rPr>
          <w:color w:val="000000"/>
          <w:u w:color="000000"/>
        </w:rPr>
        <w:t>.</w:t>
      </w:r>
      <w:r w:rsidR="00937767">
        <w:rPr>
          <w:color w:val="000000"/>
          <w:u w:color="000000"/>
        </w:rPr>
        <w:t xml:space="preserve">This </w:t>
      </w:r>
      <w:r>
        <w:rPr>
          <w:color w:val="000000"/>
          <w:u w:color="000000"/>
        </w:rPr>
        <w:t>cancer</w:t>
      </w:r>
      <w:r w:rsidR="00937767">
        <w:rPr>
          <w:color w:val="000000"/>
          <w:u w:color="000000"/>
        </w:rPr>
        <w:t xml:space="preserve"> is caused by</w:t>
      </w:r>
      <w:r>
        <w:rPr>
          <w:color w:val="000000"/>
          <w:u w:color="000000"/>
        </w:rPr>
        <w:t xml:space="preserve"> uncontrolled activation of the Hedgehog (</w:t>
      </w:r>
      <w:proofErr w:type="spellStart"/>
      <w:r>
        <w:rPr>
          <w:color w:val="000000"/>
          <w:u w:color="000000"/>
        </w:rPr>
        <w:t>Hh</w:t>
      </w:r>
      <w:proofErr w:type="spellEnd"/>
      <w:r>
        <w:rPr>
          <w:color w:val="000000"/>
          <w:u w:color="000000"/>
        </w:rPr>
        <w:t>) Signaling Pathway. The Hedgehog Signaling Pathway becomes active when a Hedgehog Signaling ligand binds to the Patched (PTCH) receptor on the primary cilia of a cell, thus activating the signal transducer Smoothened (SMO). SMO then moves to the cilium where it binds and inhibits Suppressor of Fused (SUFU), resulting in transcription factor activation of Glioma-Associated Oncogene (GLI)</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{"citationID":"Mc5lgUo9","properties":{"formattedCitation":"\\super 2\\nosupersub{}","plainCitation":"2","noteIndex":0},"citationItems":[{"id":19,"uris":["http://zotero.org/users/local/v5TN90UQ/items/GGL9U26S"],"uri":["http://zotero.org/users/local/v5TN90UQ/items/GGL9U26S"],"itemData":{"id":19,"type":"article-journal","title":"Hedgehog signaling","container-title":"Journal of Cell Science","page":"3-6","volume":"120","issue":"1","source":"jcs.biologists.org","abstract":"The Hedgehog (Hh) family of secreted signaling proteins plays a crucial role in development of diverse animal phyla, from Drosophila to humans, regulating morphogenesis of a variety of tissues and organs ([McMahon et al., 2003][1]). Hh signaling is also involved in control of stem cell proliferation","DOI":"10.1242/jcs.03309","ISSN":"0021-9533, 1477-9137","note":"PMID: 17182898","language":"en","author":[{"family":"Varjosalo","given":"Markku"},{"family":"Taipale","given":"Jussi"}],"issued":{"date-parts":[["2007",1,1]]}}}],"schema":"https://github.com/citation-style-language/schema/raw/master/csl-citation.json"} </w:instrText>
      </w:r>
      <w:r w:rsidR="00910310">
        <w:rPr>
          <w:color w:val="000000"/>
          <w:u w:color="000000"/>
        </w:rPr>
        <w:fldChar w:fldCharType="separate"/>
      </w:r>
      <w:r w:rsidR="00910310" w:rsidRPr="00910310">
        <w:rPr>
          <w:color w:val="000000"/>
          <w:vertAlign w:val="superscript"/>
        </w:rPr>
        <w:t>2</w:t>
      </w:r>
      <w:r w:rsidR="00910310">
        <w:rPr>
          <w:color w:val="000000"/>
          <w:u w:color="000000"/>
        </w:rPr>
        <w:fldChar w:fldCharType="end"/>
      </w:r>
      <w:r>
        <w:rPr>
          <w:color w:val="000000"/>
          <w:u w:color="000000"/>
        </w:rPr>
        <w:t xml:space="preserve">. Mutations that occur in regulators of the </w:t>
      </w:r>
      <w:proofErr w:type="spellStart"/>
      <w:r>
        <w:rPr>
          <w:color w:val="000000"/>
          <w:u w:color="000000"/>
        </w:rPr>
        <w:t>Hh</w:t>
      </w:r>
      <w:proofErr w:type="spellEnd"/>
      <w:r>
        <w:rPr>
          <w:color w:val="000000"/>
          <w:u w:color="000000"/>
        </w:rPr>
        <w:t xml:space="preserve"> Signaling Pathway such as PTCH1, SMO and GLI cause uncontrolled activation of the </w:t>
      </w:r>
      <w:proofErr w:type="spellStart"/>
      <w:r>
        <w:rPr>
          <w:color w:val="000000"/>
          <w:u w:color="000000"/>
        </w:rPr>
        <w:t>Hh</w:t>
      </w:r>
      <w:proofErr w:type="spellEnd"/>
      <w:r>
        <w:rPr>
          <w:color w:val="000000"/>
          <w:u w:color="000000"/>
        </w:rPr>
        <w:t xml:space="preserve"> pathway leading to the development of cancers such as BCC</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{"citationID":"Crzts7Vb","properties":{"formattedCitation":"\\super 3\\nosupersub{}","plainCitation":"3","noteIndex":0},"citationItems":[{"id":42,"uris":["http://zotero.org/users/local/v5TN90UQ/items/HH46JS95"],"uri":["http://zotero.org/users/local/v5TN90UQ/items/HH46JS95"],"itemData":{"id":42,"type":"article-journal","title":"Hedgehog pathway inhibition and the race against tumor evolution","container-title":"The Journal of Cell Biology","page":"193-197","volume":"199","issue":"2","source":"PubMed Central","abstract":"Dependence of basal cell carcinomas and medulloblastomas on the Hedgehog pathway provides an opportunity for targeted or “personalized” therapy. The recent effectiveness and FDA approval of the first Smoothened inhibitors validates this class of agents, but has revealed drug-resistant tumor variants that bypass Smoothened inhibition. Here, we summarize the effectiveness of Hedgehog pathway inhibitors and highlight promising areas for the development of next generation drug antagonists for Hedgehog-dependent cancers.","DOI":"10.1083/jcb.201207140","ISSN":"0021-9525","note":"PMID: 23071148\nPMCID: PMC3471227","journalAbbreviation":"J Cell Biol","author":[{"family":"Atwood","given":"Scott X."},{"family":"Chang","given":"Anne Lynn S."},{"family":"Oro","given":"Anthony E."}],"issued":{"date-parts":[["2012",10,15]]}}}],"schema":"https://github.com/citation-style-language/schema/raw/master/csl-citation.json"} </w:instrText>
      </w:r>
      <w:r w:rsidR="00910310">
        <w:rPr>
          <w:color w:val="000000"/>
          <w:u w:color="000000"/>
        </w:rPr>
        <w:fldChar w:fldCharType="separate"/>
      </w:r>
      <w:r w:rsidR="00910310" w:rsidRPr="00910310">
        <w:rPr>
          <w:color w:val="000000"/>
          <w:vertAlign w:val="superscript"/>
        </w:rPr>
        <w:t>3</w:t>
      </w:r>
      <w:r w:rsidR="00910310">
        <w:rPr>
          <w:color w:val="000000"/>
          <w:u w:color="000000"/>
        </w:rPr>
        <w:fldChar w:fldCharType="end"/>
      </w:r>
      <w:r>
        <w:rPr>
          <w:color w:val="000000"/>
          <w:u w:color="000000"/>
        </w:rPr>
        <w:t>. Small molecule drugs</w:t>
      </w:r>
      <w:r w:rsidR="008B3C76">
        <w:rPr>
          <w:color w:val="000000"/>
          <w:u w:color="000000"/>
        </w:rPr>
        <w:t xml:space="preserve"> </w:t>
      </w:r>
      <w:r>
        <w:rPr>
          <w:color w:val="000000"/>
          <w:u w:color="000000"/>
        </w:rPr>
        <w:t>that inhibit SMO</w:t>
      </w:r>
      <w:r w:rsidR="008B3C76">
        <w:rPr>
          <w:color w:val="000000"/>
          <w:u w:color="000000"/>
        </w:rPr>
        <w:t xml:space="preserve">, such as </w:t>
      </w:r>
      <w:proofErr w:type="spellStart"/>
      <w:r w:rsidR="008B3C76">
        <w:rPr>
          <w:color w:val="000000"/>
          <w:u w:color="000000"/>
        </w:rPr>
        <w:t>Vismodegib</w:t>
      </w:r>
      <w:proofErr w:type="spellEnd"/>
      <w:r w:rsidR="008B3C76">
        <w:rPr>
          <w:color w:val="000000"/>
          <w:u w:color="000000"/>
        </w:rPr>
        <w:t>,</w:t>
      </w:r>
      <w:r>
        <w:rPr>
          <w:color w:val="000000"/>
          <w:u w:color="000000"/>
        </w:rPr>
        <w:t xml:space="preserve"> have been used to modulate the Hedgehog Signaling pathway</w:t>
      </w:r>
      <w:r w:rsidR="00FC6681">
        <w:rPr>
          <w:color w:val="000000"/>
          <w:u w:color="000000"/>
        </w:rPr>
        <w:t xml:space="preserve"> by preventing </w:t>
      </w:r>
      <w:r w:rsidR="00937767">
        <w:rPr>
          <w:color w:val="000000"/>
          <w:u w:color="000000"/>
        </w:rPr>
        <w:t xml:space="preserve">the </w:t>
      </w:r>
      <w:r w:rsidR="00FC6681">
        <w:rPr>
          <w:color w:val="000000"/>
          <w:u w:color="000000"/>
        </w:rPr>
        <w:t>release of GLI transcription factors</w:t>
      </w:r>
      <w:r>
        <w:rPr>
          <w:color w:val="000000"/>
          <w:u w:color="000000"/>
        </w:rPr>
        <w:t xml:space="preserve"> </w:t>
      </w:r>
      <w:r w:rsidR="00FC6681">
        <w:rPr>
          <w:color w:val="000000"/>
          <w:u w:color="000000"/>
        </w:rPr>
        <w:t xml:space="preserve">to treat </w:t>
      </w:r>
      <w:r>
        <w:rPr>
          <w:color w:val="000000"/>
          <w:u w:color="000000"/>
        </w:rPr>
        <w:t xml:space="preserve">BCC. </w:t>
      </w:r>
      <w:r w:rsidR="00937767">
        <w:rPr>
          <w:color w:val="000000"/>
          <w:u w:color="000000"/>
        </w:rPr>
        <w:t xml:space="preserve">The high </w:t>
      </w:r>
      <w:proofErr w:type="spellStart"/>
      <w:r w:rsidR="00937767">
        <w:rPr>
          <w:color w:val="000000"/>
          <w:u w:color="000000"/>
        </w:rPr>
        <w:t>reoccance</w:t>
      </w:r>
      <w:proofErr w:type="spellEnd"/>
      <w:r w:rsidR="00937767">
        <w:rPr>
          <w:color w:val="000000"/>
          <w:u w:color="000000"/>
        </w:rPr>
        <w:t xml:space="preserve"> rate of this cancer is due to two phenomena. </w:t>
      </w:r>
      <w:r w:rsidR="00FC6681">
        <w:rPr>
          <w:color w:val="000000"/>
          <w:u w:color="000000"/>
        </w:rPr>
        <w:t>BCC tumors can acquire resistance to SMO inhibitors, thus causing a loss of</w:t>
      </w:r>
      <w:r w:rsidR="00C23D50">
        <w:rPr>
          <w:color w:val="000000"/>
          <w:u w:color="000000"/>
        </w:rPr>
        <w:t xml:space="preserve"> GLI</w:t>
      </w:r>
      <w:r w:rsidR="00FC6681">
        <w:rPr>
          <w:color w:val="000000"/>
          <w:u w:color="000000"/>
        </w:rPr>
        <w:t xml:space="preserve"> inhibitor S</w:t>
      </w:r>
      <w:r w:rsidR="00937767">
        <w:rPr>
          <w:color w:val="000000"/>
          <w:u w:color="000000"/>
        </w:rPr>
        <w:t>UFU</w:t>
      </w:r>
      <w:r w:rsidR="00FC6681">
        <w:rPr>
          <w:color w:val="000000"/>
          <w:u w:color="000000"/>
        </w:rPr>
        <w:t xml:space="preserve"> or the increase of transcription factors in the system</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{"citationID":"m084wzOX","properties":{"formattedCitation":"\\super 4,5\\nosupersub{}","plainCitation":"4,5","noteIndex":0},"citationItems":[{"id":16,"uris":["http://zotero.org/users/local/v5TN90UQ/items/AZZDMBJ3"],"uri":["http://zotero.org/users/local/v5TN90UQ/items/AZZDMBJ3"],"itemData":{"id":16,"type":"article-journal","title":"Smoothened (SMO) receptor mutations dictate resistance to vismodegib in basal cell carcinoma","container-title":"Molecular Oncology","page":"389-397","volume":"9","issue":"2","source":"PubMed Central","abstract":"Basal cell carcinomas (BCCs) and a subset of medulloblastomas are characterized by loss‐of‐function mutations in the tumor suppressor gene, PTCH1. PTCH1 normally functions by repressing the activity of the Smoothened (SMO) receptor. Inactivating PTCH1 mutations result in constitutive Hedgehog pathway activity through uncontrolled SMO signaling. Targeting this pathway with vismodegib, a novel SMO inhibitor, results in impressive tumor regression in patients harboring genetic defects in this pathway. However, a secondary mutation in SMO has been reported in medulloblastoma patients following relapse on vismodegib to date. This mutation preserves pathway activity, but appears to confer resistance by interfering with drug binding., Here we report for the first time on the molecular mechanisms of resistance to vismodegib in two BCC cases. The first case, showing progression after 2 months of continuous vismodegib (primary resistance), exhibited the new SMO G497W mutation. The second case, showing a complete clinical response after 5 months of treatment and a subsequent progression after 11 months on vismodegib (secondary resistance), exhibited a PTCH1 nonsense mutation in both the pre‐ and the post‐treatment specimens, and the SMO D473Y mutation in the post‐treatment specimens only. In silico analysis demonstrated that SMOG497W undergoes a conformational rearrangement resulting in a partial obstruction of the protein drug entry site, whereas the SMO D473Y mutation induces a direct effect on the binding site geometry leading to a total disruption of a stabilizing hydrogen bond network. Thus, the G497W and D473Y SMO mutations may represent two different mechanisms leading to primary and secondary resistance to vismodegib, respectively.","DOI":"10.1016/j.molonc.2014.09.003","ISSN":"1574-7891","note":"PMID: 25306392\nPMCID: PMC5528667","journalAbbreviation":"Mol Oncol","author":[{"family":"Pricl","given":"Sabrina"},{"family":"Cortelazzi","given":"Barbara"},{"family":"Dal Col","given":"Valentina"},{"family":"Marson","given":"Domenico"},{"family":"Laurini","given":"Erik"},{"family":"Fermeglia","given":"Maurizio"},{"family":"Licitra","given":"Lisa"},{"family":"Pilotti","given":"Silvana"},{"family":"Bossi","given":"Paolo"},{"family":"Perrone","given":"Federica"}],"issued":{"date-parts":[["2015",2]]}},"label":"page"},{"id":68,"uris":["http://zotero.org/users/local/v5TN90UQ/items/7QU7GQ5F"],"uri":["http://zotero.org/users/local/v5TN90UQ/items/7QU7GQ5F"],"itemData":{"id":68,"type":"article-journal","title":"Genomic analysis of Smoothened inhibitor resistance in basal cell carcinoma","container-title":"Cancer cell","page":"327-341","volume":"27","issue":"3","source":"PubMed Central","abstract":"Smoothened (SMO) inhibitors are under clinical investigation for the treatment of several cancers. Vismodegib is approved for the treatment of locally advanced and metastatic basal cell carcinoma (BCC). Most BCC patients experience significant clinical benefit on vismodegib, however, some develop resistance. Genomic analysis of tumor biopsies revealed vismodegib resistance is associated with Hedgehog (Hh) pathway reactivation, predominantly through mutation of the drug target SMO and to a lesser extent through concurrent copy number changes in SUFU and GLI2. SMO mutations either directly impaired drug binding or activated SMO to varying levels. Furthermore, we found evidence for intra-tumor heterogeneity, suggesting that a combination of therapies targeting components at multiple levels of the Hh pathway is required to overcome resistance.,","DOI":"10.1016/j.ccell.2015.02.001","ISSN":"1535-6108","note":"PMID: 25759019\nPMCID: PMC5675004","journalAbbreviation":"Cancer Cell","author":[{"family":"Sharpe","given":"Hayley J."},{"family":"Pau","given":"Gregoire"},{"family":"Dijkgraaf","given":"Gerrit J."},{"family":"Basset-Seguin","given":"Nicole"},{"family":"Modrusan","given":"Zora"},{"family":"Januario","given":"Thomas"},{"family":"Tsui","given":"Vickie"},{"family":"Durham","given":"Alison B."},{"family":"Dlugosz","given":"Andrzej A."},{"family":"Haverty","given":"Peter M."},{"family":"Bourgon","given":"Richard"},{"family":"Tang","given":"Jean Y."},{"family":"Sarin","given":"Kavita Y."},{"family":"Dirix","given":"Luc"},{"family":"Fisher","given":"David C."},{"family":"Rudin","given":"Charles M."},{"family":"Sofen","given":"Howard"},{"family":"Migden","given":"Michael R."},{"family":"Yauch","given":"Robert L."},{"family":"Sauvage","given":"Frederic J.","non-dropping-particle":"de"}],"issued":{"date-parts":[["2015",3,9]]}},"label":"page"}],"schema":"https://github.com/citation-style-language/schema/raw/master/csl-citation.json"} </w:instrText>
      </w:r>
      <w:r w:rsidR="00910310">
        <w:rPr>
          <w:color w:val="000000"/>
          <w:u w:color="000000"/>
        </w:rPr>
        <w:fldChar w:fldCharType="separate"/>
      </w:r>
      <w:r w:rsidR="00910310" w:rsidRPr="00910310">
        <w:rPr>
          <w:color w:val="000000"/>
          <w:vertAlign w:val="superscript"/>
        </w:rPr>
        <w:t>4,5</w:t>
      </w:r>
      <w:r w:rsidR="00910310">
        <w:rPr>
          <w:color w:val="000000"/>
          <w:u w:color="000000"/>
        </w:rPr>
        <w:fldChar w:fldCharType="end"/>
      </w:r>
      <w:r w:rsidR="00FC6681">
        <w:rPr>
          <w:color w:val="000000"/>
          <w:u w:color="000000"/>
        </w:rPr>
        <w:t xml:space="preserve">. Additionally, mutations in SMO have caused the drug to be ineffective in suppressing SMO and thus allowing the </w:t>
      </w:r>
      <w:r w:rsidR="00C23D50">
        <w:rPr>
          <w:color w:val="000000"/>
          <w:u w:color="000000"/>
        </w:rPr>
        <w:t xml:space="preserve">Hedgehog Signaling to proceed despite </w:t>
      </w:r>
      <w:r w:rsidR="00937767">
        <w:rPr>
          <w:color w:val="000000"/>
          <w:u w:color="000000"/>
        </w:rPr>
        <w:t xml:space="preserve">the presence of </w:t>
      </w:r>
      <w:r w:rsidR="00C23D50">
        <w:rPr>
          <w:color w:val="000000"/>
          <w:u w:color="000000"/>
        </w:rPr>
        <w:t>a SMO inhibitor</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{"citationID":"Xruzzp0p","properties":{"formattedCitation":"\\super 5\\nosupersub{}","plainCitation":"5","noteIndex":0},"citationItems":[{"id":68,"uris":["http://zotero.org/users/local/v5TN90UQ/items/7QU7GQ5F"],"uri":["http://zotero.org/users/local/v5TN90UQ/items/7QU7GQ5F"],"itemData":{"id":68,"type":"article-journal","title":"Genomic analysis of Smoothened inhibitor resistance in basal cell carcinoma","container-title":"Cancer cell","page":"327-341","volume":"27","issue":"3","source":"PubMed Central","abstract":"Smoothened (SMO) inhibitors are under clinical investigation for the treatment of several cancers. Vismodegib is approved for the treatment of locally advanced and metastatic basal cell carcinoma (BCC). Most BCC patients experience significant clinical benefit on vismodegib, however, some develop resistance. Genomic analysis of tumor biopsies revealed vismodegib resistance is associated with Hedgehog (Hh) pathway reactivation, predominantly through mutation of the drug target SMO and to a lesser extent through concurrent copy number changes in SUFU and GLI2. SMO mutations either directly impaired drug binding or activated SMO to varying levels. Furthermore, we found evidence for intra-tumor heterogeneity, suggesting that a combination of therapies targeting components at multiple levels of the Hh pathway is required to overcome resistance.,","DOI":"10.1016/j.ccell.2015.02.001","ISSN":"1535-6108","note":"PMID: 25759019\nPMCID: PMC5675004","journalAbbreviation":"Cancer Cell","author":[{"family":"Sharpe","given":"Hayley J."},{"family":"Pau","given":"Gregoire"},{"family":"Dijkgraaf","given":"Gerrit J."},{"family":"Basset-Seguin","given":"Nicole"},{"family":"Modrusan","given":"Zora"},{"family":"Januario","given":"Thomas"},{"family":"Tsui","given":"Vickie"},{"family":"Durham","given":"Alison B."},{"family":"Dlugosz","given":"Andrzej A."},{"family":"Haverty","given":"Peter M."},{"family":"Bourgon","given":"Richard"},{"family":"Tang","given":"Jean Y."},{"family":"Sarin","given":"Kavita Y."},{"family":"Dirix","given":"Luc"},{"family":"Fisher","given":"David C."},{"family":"Rudin","given":"Charles M."},{"family":"Sofen","given":"Howard"},{"family":"Migden","given":"Michael R."},{"family":"Yauch","given":"Robert L."},{"family":"Sauvage","given":"Frederic J.","non-dropping-particle":"de"}],"issued":{"date-parts":[["2015",3,9]]}}}],"schema":"https://github.com/citation-style-language/schema/raw/master/csl-citation.json"} </w:instrText>
      </w:r>
      <w:r w:rsidR="00910310">
        <w:rPr>
          <w:color w:val="000000"/>
          <w:u w:color="000000"/>
        </w:rPr>
        <w:fldChar w:fldCharType="separate"/>
      </w:r>
      <w:r w:rsidR="00910310" w:rsidRPr="00910310">
        <w:rPr>
          <w:color w:val="000000"/>
          <w:vertAlign w:val="superscript"/>
        </w:rPr>
        <w:t>5</w:t>
      </w:r>
      <w:r w:rsidR="00910310">
        <w:rPr>
          <w:color w:val="000000"/>
          <w:u w:color="000000"/>
        </w:rPr>
        <w:fldChar w:fldCharType="end"/>
      </w:r>
      <w:r w:rsidR="00910310">
        <w:rPr>
          <w:color w:val="000000"/>
          <w:u w:color="000000"/>
        </w:rPr>
        <w:t xml:space="preserve">. </w:t>
      </w:r>
      <w:r w:rsidR="008B3C76" w:rsidRPr="008B3C76">
        <w:rPr>
          <w:color w:val="000000"/>
          <w:u w:color="000000"/>
        </w:rPr>
        <w:t xml:space="preserve">BCC resistance </w:t>
      </w:r>
      <w:r w:rsidR="00937767">
        <w:rPr>
          <w:color w:val="000000"/>
          <w:u w:color="000000"/>
        </w:rPr>
        <w:t xml:space="preserve">to SMO inhibitors </w:t>
      </w:r>
      <w:r w:rsidR="008B3C76" w:rsidRPr="008B3C76">
        <w:rPr>
          <w:color w:val="000000"/>
          <w:u w:color="000000"/>
        </w:rPr>
        <w:t xml:space="preserve">and </w:t>
      </w:r>
      <w:r w:rsidR="00FC6681">
        <w:rPr>
          <w:color w:val="000000"/>
          <w:u w:color="000000"/>
        </w:rPr>
        <w:t xml:space="preserve">mutations </w:t>
      </w:r>
      <w:r w:rsidR="00937767">
        <w:rPr>
          <w:color w:val="000000"/>
          <w:u w:color="000000"/>
        </w:rPr>
        <w:t xml:space="preserve">in </w:t>
      </w:r>
      <w:r w:rsidR="008B3C76" w:rsidRPr="008B3C76">
        <w:rPr>
          <w:color w:val="000000"/>
          <w:u w:color="000000"/>
        </w:rPr>
        <w:t xml:space="preserve">SMO have directed </w:t>
      </w:r>
      <w:r w:rsidR="00FC6681">
        <w:rPr>
          <w:color w:val="000000"/>
          <w:u w:color="000000"/>
        </w:rPr>
        <w:t xml:space="preserve">attention to GLI transcription factors downstream of SMO as targets for BCC treatment. </w:t>
      </w:r>
      <w:r w:rsidR="00937767">
        <w:rPr>
          <w:color w:val="000000"/>
          <w:u w:color="000000"/>
        </w:rPr>
        <w:t xml:space="preserve">Our lab has compiled a list of recurrent mutations in the </w:t>
      </w:r>
      <w:proofErr w:type="spellStart"/>
      <w:r w:rsidR="00937767">
        <w:rPr>
          <w:color w:val="000000"/>
          <w:u w:color="000000"/>
        </w:rPr>
        <w:t>Hh</w:t>
      </w:r>
      <w:proofErr w:type="spellEnd"/>
      <w:r w:rsidR="00937767">
        <w:rPr>
          <w:color w:val="000000"/>
          <w:u w:color="000000"/>
        </w:rPr>
        <w:t xml:space="preserve"> pathway activating GLI transcription factors, GLI1 and GLI2, from the COSMIC database and have screened them for their ability to activate Hedgehog Signaling. In analyzing these Hedgehog activating re-current mutations, the mutation sites were found to be </w:t>
      </w:r>
      <w:proofErr w:type="spellStart"/>
      <w:r w:rsidR="00937767">
        <w:rPr>
          <w:color w:val="000000"/>
          <w:u w:color="000000"/>
        </w:rPr>
        <w:t>phosphosites</w:t>
      </w:r>
      <w:proofErr w:type="spellEnd"/>
      <w:r w:rsidR="00937767">
        <w:rPr>
          <w:color w:val="000000"/>
          <w:u w:color="000000"/>
        </w:rPr>
        <w:t xml:space="preserve">. A mechanism of regulation of GLI proteins into transcriptional activators, </w:t>
      </w:r>
      <w:r w:rsidR="00850FAC">
        <w:rPr>
          <w:color w:val="000000"/>
          <w:u w:color="000000"/>
        </w:rPr>
        <w:t>thus activating</w:t>
      </w:r>
      <w:r w:rsidR="00937767">
        <w:rPr>
          <w:color w:val="000000"/>
          <w:u w:color="000000"/>
        </w:rPr>
        <w:t xml:space="preserve"> the Hedgehog Pathway, through multi</w:t>
      </w:r>
      <w:r>
        <w:rPr>
          <w:color w:val="000000"/>
          <w:u w:color="000000"/>
        </w:rPr>
        <w:t xml:space="preserve">-site phosphorylation </w:t>
      </w:r>
      <w:r w:rsidR="00937767">
        <w:rPr>
          <w:color w:val="000000"/>
          <w:u w:color="000000"/>
        </w:rPr>
        <w:t xml:space="preserve">could be through the activity of </w:t>
      </w:r>
      <w:r w:rsidR="00850FAC">
        <w:rPr>
          <w:color w:val="000000"/>
          <w:u w:color="000000"/>
        </w:rPr>
        <w:t>protein kinases</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{"citationID":"I0GWgIj2","properties":{"formattedCitation":"\\super 6\\nosupersub{}","plainCitation":"6","noteIndex":0},"citationItems":[{"id":13,"uris":["http://zotero.org/users/local/v5TN90UQ/items/8VFHQLYD"],"uri":["http://zotero.org/users/local/v5TN90UQ/items/8VFHQLYD"],"itemData":{"id":13,"type":"article-journal","title":"Gli protein activity is controlled by multi-site phosphorylation in vertebrate Hedgehog signaling","container-title":"Cell reports","page":"168-181","volume":"6","issue":"1","source":"PubMed Central","abstract":"Gli proteins are transcriptional effectors of the Hedgehog (Hh) pathway in both normal development and cancer. We describe a program of multi-site phosphorylation that regulates the conversion of Gli proteins into transcriptional activators. In the absence of Hh ligands, Gli activity is restrained by the direct phosphorylation of six conserved serine residues by protein kinase a (PKA), a master negative regulator of the Hh pathway. Activation of signaling leads to a global remodeling of the Gli phosphorylation landscape: the PKA target sites become dephosphorylated, while a second cluster of sites undergoes phosphorylation. The pattern of Gli phosphorylation can regulate Gli transcriptional activity in a graded fashion, suggesting a phosphorylation based-mechanism for how a gradient of Hh signaling in a morphogenetic field can be converted into a gradient of transcriptional activity.","DOI":"10.1016/j.celrep.2013.12.003","ISSN":"2211-1247","note":"PMID: 24373970\nPMCID: PMC3915062","journalAbbreviation":"Cell Rep","author":[{"family":"Niewiadomski","given":"Pawel"},{"family":"Kong","given":"Jennifer H."},{"family":"Ahrends","given":"Robert"},{"family":"Ma","given":"Yan"},{"family":"Humke","given":"Eric W."},{"family":"Khan","given":"Sohini"},{"family":"Teruel","given":"Mary N."},{"family":"Novitch","given":"Bennett G."},{"family":"Rohatgi","given":"Rajat"}],"issued":{"date-parts":[["2014",1,16]]}}}],"schema":"https://github.com/citation-style-language/schema/raw/master/csl-citation.json"} </w:instrText>
      </w:r>
      <w:r w:rsidR="00910310">
        <w:rPr>
          <w:color w:val="000000"/>
          <w:u w:color="000000"/>
        </w:rPr>
        <w:fldChar w:fldCharType="separate"/>
      </w:r>
      <w:r w:rsidR="00910310" w:rsidRPr="00910310">
        <w:rPr>
          <w:color w:val="000000"/>
          <w:vertAlign w:val="superscript"/>
        </w:rPr>
        <w:t>6</w:t>
      </w:r>
      <w:r w:rsidR="00910310">
        <w:rPr>
          <w:color w:val="000000"/>
          <w:u w:color="000000"/>
        </w:rPr>
        <w:fldChar w:fldCharType="end"/>
      </w:r>
      <w:r w:rsidR="00910310">
        <w:rPr>
          <w:color w:val="000000"/>
          <w:u w:color="000000"/>
        </w:rPr>
        <w:t xml:space="preserve">. </w:t>
      </w:r>
      <w:r w:rsidR="00850FAC">
        <w:rPr>
          <w:color w:val="000000"/>
          <w:u w:color="000000"/>
        </w:rPr>
        <w:t>T</w:t>
      </w:r>
      <w:r w:rsidR="00937767">
        <w:rPr>
          <w:color w:val="000000"/>
          <w:u w:color="000000"/>
        </w:rPr>
        <w:t>he</w:t>
      </w:r>
      <w:r w:rsidR="00FC6681">
        <w:rPr>
          <w:color w:val="000000"/>
          <w:u w:color="000000"/>
        </w:rPr>
        <w:t xml:space="preserve"> purpose of this project is to assess </w:t>
      </w:r>
      <w:r w:rsidR="00C23D50">
        <w:rPr>
          <w:color w:val="000000"/>
          <w:u w:color="000000"/>
        </w:rPr>
        <w:t xml:space="preserve">the role of kinases predicted to be active at recurrent GLI mutation sites on </w:t>
      </w:r>
      <w:r w:rsidR="00FC6681">
        <w:rPr>
          <w:color w:val="000000"/>
          <w:u w:color="000000"/>
        </w:rPr>
        <w:t xml:space="preserve">Hedgehog Signaling Pathway. </w:t>
      </w:r>
    </w:p>
    <w:p w14:paraId="5579466A" w14:textId="0A4C2844" w:rsidR="005F76BD" w:rsidRDefault="005F76BD" w:rsidP="00FC6681">
      <w:pPr>
        <w:autoSpaceDE w:val="0"/>
        <w:autoSpaceDN w:val="0"/>
        <w:adjustRightInd w:val="0"/>
        <w:ind w:firstLine="720"/>
        <w:rPr>
          <w:color w:val="000000"/>
          <w:u w:color="000000"/>
        </w:rPr>
      </w:pPr>
      <w:r>
        <w:rPr>
          <w:color w:val="000000"/>
          <w:u w:color="000000"/>
        </w:rPr>
        <w:t xml:space="preserve">Mitogen-Activated Protein Kinase 2 (MAP2K1) is active at re-current GLI mutations sites determined experimentally to activate </w:t>
      </w:r>
      <w:proofErr w:type="spellStart"/>
      <w:r>
        <w:rPr>
          <w:color w:val="000000"/>
          <w:u w:color="000000"/>
        </w:rPr>
        <w:t>Hh</w:t>
      </w:r>
      <w:proofErr w:type="spellEnd"/>
      <w:r>
        <w:rPr>
          <w:color w:val="000000"/>
          <w:u w:color="000000"/>
        </w:rPr>
        <w:t xml:space="preserve"> Signaling. Mutations in MAP2K1 are correlated with melanoma and inhibiting this kinase reduces metastasis in pancreatic cancer </w:t>
      </w:r>
      <w:r w:rsidR="00910310">
        <w:rPr>
          <w:color w:val="000000"/>
          <w:u w:color="000000"/>
        </w:rPr>
        <w:fldChar w:fldCharType="begin"/>
      </w:r>
      <w:r w:rsidR="00910310">
        <w:rPr>
          <w:color w:val="000000"/>
          <w:u w:color="000000"/>
        </w:rPr>
        <w:instrText xml:space="preserve"> ADDIN ZOTERO_ITEM CSL_CITATION {"citationID":"Vu1JnWeY","properties":{"formattedCitation":"\\super 7,7\\uc0\\u8211{}9\\nosupersub{}","plainCitation":"7,7–9","dontUpdate":true,"noteIndex":0},"citationItems":[{"id":33,"uris":["http://zotero.org/users/local/v5TN90UQ/items/XCXCYGFM"],"uri":["http://zotero.org/users/local/v5TN90UQ/items/XCXCYGFM"],"itemData":{"id":33,"type":"article-journal","title":"Simultaneous Inhibition of MEK and Hh Signaling Reduces Pancreatic Cancer Metastasis","container-title":"Cancers","volume":"10","issue":"11","source":"PubMed Central","abstract":"Pancreatic cancer, mostly pancreatic ductal adenocarcinoma (PDAC), is one of the most lethal cancer types, with an estimated 44,330 death in 2018 in the US alone. While targeted therapies and immune checkpoint inhibitors have significantly improved treatment options for patients with lung cancer and renal cell carcinomas, little progress has been made in pancreatic cancer, with a dismal 5-year survival rate currently at ~8%. Upon diagnosis, the majority of pancreatic cancer cases (~80%) are already metastatic. Thus, identifying ways to reduce pancreatic cancer metastasis is an unmet medical need. Furthermore, pancreatic cancer is notorious resistant to chemotherapy. While Kirsten RAt Sarcoma virus oncogene (K-RAS) mutation is the major driver for pancreatic cancer, specific inhibition of RAS signaling has been very challenging, and combination therapy is thought to be promising. In this study, we report that combination of hedgehog (Hh) and Mitogen-activated Protein/Extracellular Signal-regulated Kinase Kinase (MEK) signaling inhibitors reduces pancreatic cancer metastasis in mouse models. In mouse models of pancreatic cancer metastasis using human pancreatic cancer cells, we found that Hh target gene Gli1 is up-regulated during pancreatic cancer metastasis. Specific inhibition of smoothened signaling significantly altered the gene expression profile of the tumor microenvironment but had no significant effects on cancer metastasis. By combining Hh signaling inhibitor BMS833923 with RAS downstream MEK signaling inhibitor AZD6244, we observed reduced number of metastatic nodules in several mouse models for pancreatic cancer metastasis. These two inhibitors also decreased cell proliferation significantly and reduced CD45+ cells (particularly Ly6G+CD11b+ cells). We demonstrated that depleting Ly6G+ CD11b+ cells is sufficient to reduce cancer cell proliferation and the number of metastatic nodules. In vitro, Ly6G+ CD11b+ cells can stimulate cancer cell proliferation, and this effect is sensitive to MEK and Hh inhibition. Our studies may help design novel therapeutic strategies to mitigate pancreatic cancer metastasis.","URL":"https://www.ncbi.nlm.nih.gov/pmc/articles/PMC6266431/","DOI":"10.3390/cancers10110403","ISSN":"2072-6694","note":"PMID: 30373214\nPMCID: PMC6266431","journalAbbreviation":"Cancers (Basel)","author":[{"family":"Gu","given":"Dongsheng"},{"family":"Lin","given":"Hai"},{"family":"Zhang","given":"Xiaoli"},{"family":"Fan","given":"Qipeng"},{"family":"Chen","given":"Shaoxiong"},{"family":"Shahda","given":"Safi"},{"family":"Liu","given":"Yunlong"},{"family":"Sun","given":"Jie"},{"family":"Xie","given":"Jingwu"}],"issued":{"date-parts":[["2018",10,26]]},"accessed":{"date-parts":[["2019",11,18]]}},"label":"page"},{"id":33,"uris":["http://zotero.org/users/local/v5TN90UQ/items/XCXCYGFM"],"uri":["http://zotero.org/users/local/v5TN90UQ/items/XCXCYGFM"],"itemData":{"id":33,"type":"article-journal","title":"Simultaneous Inhibition of MEK and Hh Signaling Reduces Pancreatic Cancer Metastasis","container-title":"Cancers","volume":"10","issue":"11","source":"PubMed Central","abstract":"Pancreatic cancer, mostly pancreatic ductal adenocarcinoma (PDAC), is one of the most lethal cancer types, with an estimated 44,330 death in 2018 in the US alone. While targeted therapies and immune checkpoint inhibitors have significantly improved treatment options for patients with lung cancer and renal cell carcinomas, little progress has been made in pancreatic cancer, with a dismal 5-year survival rate currently at ~8%. Upon diagnosis, the majority of pancreatic cancer cases (~80%) are already metastatic. Thus, identifying ways to reduce pancreatic cancer metastasis is an unmet medical need. Furthermore, pancreatic cancer is notorious resistant to chemotherapy. While Kirsten RAt Sarcoma virus oncogene (K-RAS) mutation is the major driver for pancreatic cancer, specific inhibition of RAS signaling has been very challenging, and combination therapy is thought to be promising. In this study, we report that combination of hedgehog (Hh) and Mitogen-activated Protein/Extracellular Signal-regulated Kinase Kinase (MEK) signaling inhibitors reduces pancreatic cancer metastasis in mouse models. In mouse models of pancreatic cancer metastasis using human pancreatic cancer cells, we found that Hh target gene Gli1 is up-regulated during pancreatic cancer metastasis. Specific inhibition of smoothened signaling significantly altered the gene expression profile of the tumor microenvironment but had no significant effects on cancer metastasis. By combining Hh signaling inhibitor BMS833923 with RAS downstream MEK signaling inhibitor AZD6244, we observed reduced number of metastatic nodules in several mouse models for pancreatic cancer metastasis. These two inhibitors also decreased cell proliferation significantly and reduced CD45+ cells (particularly Ly6G+CD11b+ cells). We demonstrated that depleting Ly6G+ CD11b+ cells is sufficient to reduce cancer cell proliferation and the number of metastatic nodules. In vitro, Ly6G+ CD11b+ cells can stimulate cancer cell proliferation, and this effect is sensitive to MEK and Hh inhibition. Our studies may help design novel therapeutic strategies to mitigate pancreatic cancer metastasis.","URL":"https://www.ncbi.nlm.nih.gov/pmc/articles/PMC6266431/","DOI":"10.3390/cancers10110403","ISSN":"2072-6694","note":"PMID: 30373214\nPMCID: PMC6266431","journalAbbreviation":"Cancers (Basel)","author":[{"family":"Gu","given":"Dongsheng"},{"family":"Lin","given":"Hai"},{"family":"Zhang","given":"Xiaoli"},{"family":"Fan","given":"Qipeng"},{"family":"Chen","given":"Shaoxiong"},{"family":"Shahda","given":"Safi"},{"family":"Liu","given":"Yunlong"},{"family":"Sun","given":"Jie"},{"family":"Xie","given":"Jingwu"}],"issued":{"date-parts":[["2018",10,26]]},"accessed":{"date-parts":[["2019",11,18]]}},"label":"page"},{"id":61,"uris":["http://zotero.org/users/local/v5TN90UQ/items/9KP6S2T5"],"uri":["http://zotero.org/users/local/v5TN90UQ/items/9KP6S2T5"],"itemData":{"id":61,"type":"article-journal","title":"MEK1-RSK2 contributes to Hedgehog signaling by stabilizing GLI2 transcription factor and inhibiting ubiquitination","container-title":"Oncogene","page":"65-73","volume":"33","issue":"1","source":"PubMed","abstract":"The transcription factor GLI2 has an important role in the transduction of Hedgehog signaling and thereby regulates tumorigenesis in a wide variety of human tumors. However, the mechanisms controlling GLI2 protein expression and stabilization are incompletely understood. In this study, we show that the mitogen-activated protein kinase MEK1 modulates GLI2 both at the mRNA and protein level. Constitutively activated MEK1 prolonged the half-life of GLI2 and increased its nuclear translocation, accompanied by attenuated ubiquitination of GLI2 protein. RSK2, a protein kinase lying downstream of MEK-ERK cascade, mimicked the effect of MEK on GLI2 stabilization. MEK1 and RSK2 failed to augment the half-life of GLI2 lacking GSK-3β phosphorylation sites, indicating that MEK-RSK stabilizes GLI2 by controlling targeting GSK-3β-mediated phosphorylation and ubiquitination of GLI2. The significance of MEK-RSK stabilization was demonstrated in experiments showing that activation of MEK-RSK paralleled higher protein level of GLI2 in several multiple myelomas (MM) cells relative to normal B cells. Moreover, combined treatment with RSK and GLI inhibitors led to an enhanced apoptosis of MM cells. Thus, our results indicate that MEK-RSK cascade positively regulates GLI2 stabilization and represses its degradation via inhibiting GSK-3β-dependent phosphorylation and ubiquitination of GLI2.","DOI":"10.1038/onc.2012.544","ISSN":"1476-5594","note":"PMID: 23208494","journalAbbreviation":"Oncogene","language":"eng","author":[{"family":"Liu","given":"Z."},{"family":"Li","given":"T."},{"family":"Reinhold","given":"M. I."},{"family":"Naski","given":"M. C."}],"issued":{"date-parts":[["2014",1,2]]}},"label":"page"},{"id":36,"uris":["http://zotero.org/users/local/v5TN90UQ/items/4G7ASC3I"],"uri":["http://zotero.org/users/local/v5TN90UQ/items/4G7ASC3I"],"itemData":{"id":36,"type":"article-journal","title":"The MEK/ERK signalling cascade is required for sonic hedgehog signalling pathway-mediated enhancement of proliferation and inhibition of apoptosis in normal keratinocytes","container-title":"Experimental Dermatology","page":"896-901","volume":"23","issue":"12","source":"PubMed","abstract":"Keratinocytes (KCs) play a critical role in maintaining the cutaneous structure and are involved in various physiological and pathologic processes of the skin. Many inflammatory skin diseases and skin cancers result from excessive proliferation and insufficient apoptosis of KCs. Recent data suggested that the sonic hedgehog (Shh) signalling pathway plays an essential role in the proliferation and apoptosis of normal KCs. However, the mechanism remains poorly defined. Here, we provide evidence that Shh signalling induces proliferation and inhibits apoptosis in normal KCs via cyclin D1 and Bcl2 in an extracellular signal-regulatedkinase (MEK)/extracellular signal-regulated kinase (ERK)-dependent manner. In addition, the effect is independent of phosphoinositide-3 kinase (PI3K)/AKT or Janus kinase/signal transducer and activator of transcription (JAK/STAT) 1/3 pathways. Furthermore, we observed that epidermal growth factor receptor (EGFR) signalling modulates the activity of Shh signalling pathway; besides, Shh and EGFR signalling act additively to induce the ERK activation and the increases in cyclin D1 and Bcl2 thereby affecting proliferation and apoptosis in KCs in vitro. The present study suggests that the MEK/ERK1/2 activation is part of the mechanism of Shh signal-mediated proliferation and apoptosis in normal KCs. Our results may help to elucidate the regulatory mechanisms of the Shh pathway in normal KCs and the pathogenesis of related skin disorders.","DOI":"10.1111/exd.12556","ISSN":"1600-0625","note":"PMID: 25256290","journalAbbreviation":"Exp. Dermatol.","language":"eng","author":[{"family":"Liu","given":"Haiyan"},{"family":"Jian","given":"Qiang"},{"family":"Xue","given":"Ke"},{"family":"Ma","given":"Cuiling"},{"family":"Xie","given":"Fang"},{"family":"Wang","given":"Rui"},{"family":"Liao","given":"Wenjun"},{"family":"Liu","given":"Yufeng"},{"family":"Chi","given":"Sumin"},{"family":"Li","given":"Chengxin"}],"issued":{"date-parts":[["2014",12]]}},"label":"page"}],"schema":"https://github.com/citation-style-language/schema/raw/master/csl-citation.json"} </w:instrText>
      </w:r>
      <w:r w:rsidR="00910310">
        <w:rPr>
          <w:color w:val="000000"/>
          <w:u w:color="000000"/>
        </w:rPr>
        <w:fldChar w:fldCharType="separate"/>
      </w:r>
      <w:r w:rsidR="00910310" w:rsidRPr="00910310">
        <w:rPr>
          <w:color w:val="000000"/>
          <w:vertAlign w:val="superscript"/>
        </w:rPr>
        <w:t>7–9</w:t>
      </w:r>
      <w:r w:rsidR="00910310">
        <w:rPr>
          <w:color w:val="000000"/>
          <w:u w:color="000000"/>
        </w:rPr>
        <w:fldChar w:fldCharType="end"/>
      </w:r>
      <w:r>
        <w:rPr>
          <w:color w:val="000000"/>
          <w:u w:color="000000"/>
        </w:rPr>
        <w:t>. Additionally, MAP2K1 stabilizes GLI and activates Hedgehog Signaling</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{"citationID":"6zPB0hWi","properties":{"formattedCitation":"\\super 9\\nosupersub{}","plainCitation":"9","noteIndex":0},"citationItems":[{"id":36,"uris":["http://zotero.org/users/local/v5TN90UQ/items/4G7ASC3I"],"uri":["http://zotero.org/users/local/v5TN90UQ/items/4G7ASC3I"],"itemData":{"id":36,"type":"article-journal","title":"The MEK/ERK signalling cascade is required for sonic hedgehog signalling pathway-mediated enhancement of proliferation and inhibition of apoptosis in normal keratinocytes","container-title":"Experimental Dermatology","page":"896-901","volume":"23","issue":"12","source":"PubMed","abstract":"Keratinocytes (KCs) play a critical role in maintaining the cutaneous structure and are involved in various physiological and pathologic processes of the skin. Many inflammatory skin diseases and skin cancers result from excessive proliferation and insufficient apoptosis of KCs. Recent data suggested that the sonic hedgehog (Shh) signalling pathway plays an essential role in the proliferation and apoptosis of normal KCs. However, the mechanism remains poorly defined. Here, we provide evidence that Shh signalling induces proliferation and inhibits apoptosis in normal KCs via cyclin D1 and Bcl2 in an extracellular signal-regulatedkinase (MEK)/extracellular signal-regulated kinase (ERK)-dependent manner. In addition, the effect is independent of phosphoinositide-3 kinase (PI3K)/AKT or Janus kinase/signal transducer and activator of transcription (JAK/STAT) 1/3 pathways. Furthermore, we observed that epidermal growth factor receptor (EGFR) signalling modulates the activity of Shh signalling pathway; besides, Shh and EGFR signalling act additively to induce the ERK activation and the increases in cyclin D1 and Bcl2 thereby affecting proliferation and apoptosis in KCs in vitro. The present study suggests that the MEK/ERK1/2 activation is part of the mechanism of Shh signal-mediated proliferation and apoptosis in normal KCs. Our results may help to elucidate the regulatory mechanisms of the Shh pathway in normal KCs and the pathogenesis of related skin disorders.","DOI":"10.1111/exd.12556","ISSN":"1600-0625","note":"PMID: 25256290","journalAbbreviation":"Exp. Dermatol.","language":"eng","author":[{"family":"Liu","given":"Haiyan"},{"family":"Jian","given":"Qiang"},{"family":"Xue","given":"Ke"},{"family":"Ma","given":"Cuiling"},{"family":"Xie","given":"Fang"},{"family":"Wang","given":"Rui"},{"family":"Liao","given":"Wenjun"},{"family":"Liu","given":"Yufeng"},{"family":"Chi","given":"Sumin"},{"family":"Li","given":"Chengxin"}],"issued":{"date-parts":[["2014",12]]}}}],"schema":"https://github.com/citation-style-language/schema/raw/master/csl-citation.json"} </w:instrText>
      </w:r>
      <w:r w:rsidR="00910310">
        <w:rPr>
          <w:color w:val="000000"/>
          <w:u w:color="000000"/>
        </w:rPr>
        <w:fldChar w:fldCharType="separate"/>
      </w:r>
      <w:r w:rsidR="00910310" w:rsidRPr="00910310">
        <w:rPr>
          <w:color w:val="000000"/>
          <w:vertAlign w:val="superscript"/>
        </w:rPr>
        <w:t>9</w:t>
      </w:r>
      <w:r w:rsidR="00910310">
        <w:rPr>
          <w:color w:val="000000"/>
          <w:u w:color="000000"/>
        </w:rPr>
        <w:fldChar w:fldCharType="end"/>
      </w:r>
      <w:r>
        <w:rPr>
          <w:color w:val="000000"/>
          <w:u w:color="000000"/>
        </w:rPr>
        <w:t xml:space="preserve">. Cobimetinib is effective as a MAP2K1 inhibitor used to treat melanoma with an IC50 of 4.2 </w:t>
      </w:r>
      <w:proofErr w:type="spellStart"/>
      <w:r>
        <w:rPr>
          <w:color w:val="000000"/>
          <w:u w:color="000000"/>
        </w:rPr>
        <w:t>nM</w:t>
      </w:r>
      <w:proofErr w:type="spellEnd"/>
      <w:r w:rsidR="002B0389">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{"citationID":"YxUf81Hg","properties":{"formattedCitation":"\\super 10\\nosupersub{}","plainCitation":"10","noteIndex":0},"citationItems":[{"id":28,"uris":["http://zotero.org/users/local/v5TN90UQ/items/I3IJN2J7"],"uri":["http://zotero.org/users/local/v5TN90UQ/items/I3IJN2J7"],"itemData":{"id":28,"type":"article-journal","title":"In vitro long-term treatment with MAPK inhibitors induces melanoma cells with resistance plasticity to inhibitors while retaining sensitivity to CD8 T cells","container-title":"Oncology Reports","page":"1367-1378","volume":"37","issue":"3","source":"PubMed Central","abstract":"The development of BRAF V600 and MEK inhibitors constitutes a breakthrough in the treatment of patients with BRAF-mutated metastatic melanoma. However, although there is an increase in overall survival, these patients generally confront recurrence, and several resistance mechanisms have already been described. In the present study we describe a different resistance mechanism. After several weeks of long-term in vitro treatment of two different V600E BRAF-mutated melanoma cell lines with MARK inhibitors, PLX4032 and/or GDC-0973, the majority of the cells died whereas some remained viable and quiescent (SUR). Markedly, discontinuing treatment of SUR cells with MAPK inhibitors allowed the population to regrow and these cells retained drug sensitivity equal to that of the parental cells. SUR cells had increased expression levels of CD271 and ABCB5 and presented senescence-associated characteristics. Notably, SUR cells were efficiently lysed by cytotoxic T lymphocytes recognizing MART-1 and gp100 melanoma differentiation antigens. We propose quiescent plasticity as a mechanism of resistance to BRAF and MEK inhibitors while retaining sensitivity to immune effectors.","DOI":"10.3892/or.2017.5363","ISSN":"1021-335X","note":"PMID: 28098866\nPMCID: PMC5364845","journalAbbreviation":"Oncol Rep","author":[{"family":"Rowdo","given":"Florencia Paula Madorsky"},{"family":"Barón","given":"Antonela"},{"family":"Von Euw","given":"Erika María"},{"family":"Mordoh","given":"José"}],"issued":{"date-parts":[["2017",3]]}}}],"schema":"https://github.com/citation-style-language/schema/raw/master/csl-citation.json"} </w:instrText>
      </w:r>
      <w:r w:rsidR="00910310">
        <w:rPr>
          <w:color w:val="000000"/>
          <w:u w:color="000000"/>
        </w:rPr>
        <w:fldChar w:fldCharType="separate"/>
      </w:r>
      <w:r w:rsidR="00910310" w:rsidRPr="00910310">
        <w:rPr>
          <w:color w:val="000000"/>
          <w:vertAlign w:val="superscript"/>
        </w:rPr>
        <w:t>10</w:t>
      </w:r>
      <w:r w:rsidR="00910310">
        <w:rPr>
          <w:color w:val="000000"/>
          <w:u w:color="000000"/>
        </w:rPr>
        <w:fldChar w:fldCharType="end"/>
      </w:r>
      <w:r w:rsidR="00910310">
        <w:rPr>
          <w:color w:val="000000"/>
          <w:u w:color="000000"/>
        </w:rPr>
        <w:t xml:space="preserve">. </w:t>
      </w:r>
      <w:r>
        <w:rPr>
          <w:color w:val="000000"/>
          <w:u w:color="000000"/>
        </w:rPr>
        <w:t>Pyruvate Dehydrogenase Kinase (PDHK) regulates glycolysis which is more highly activ</w:t>
      </w:r>
      <w:r w:rsidR="00850FAC">
        <w:rPr>
          <w:color w:val="000000"/>
          <w:u w:color="000000"/>
        </w:rPr>
        <w:t>e</w:t>
      </w:r>
      <w:r>
        <w:rPr>
          <w:color w:val="000000"/>
          <w:u w:color="000000"/>
        </w:rPr>
        <w:t xml:space="preserve"> in cancer cells than normal cells</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{"citationID":"g3NyrDBk","properties":{"formattedCitation":"\\super 11\\nosupersub{}","plainCitation":"11","noteIndex":0},"citationItems":[{"id":39,"uris":["http://zotero.org/users/local/v5TN90UQ/items/ZRJ9TJ93"],"uri":["http://zotero.org/users/local/v5TN90UQ/items/ZRJ9TJ93"],"itemData":{"id":39,"type":"article-journal","title":"Microenvironmental control of glucose metabolism in tumors by regulation of pyruvate dehydrogenase","container-title":"International Journal of Cancer","page":"674-686","volume":"144","issue":"4","source":"Wiley Online Library","abstract":"During malignant progression cancer cells undergo a series of changes, which promote their survival, invasiveness and metastatic process. One of them is a change in glucose metabolism. Unlike normal cells, which mostly rely on the tricarboxylic acid cycle (TCA), many cancer types rely on glycolysis. Pyruvate dehydrogenase complex (PDC) is the gatekeeper enzyme between these two pathways and is responsible for converting pyruvate to acetyl-CoA, which can then be processed further in the TCA cycle. Its activity is regulated by PDP (pyruvate dehydrogenase phosphatases) and PDHK (pyruvate dehydrogenase kinases). Pyruvate dehydrogenase kinase exists in 4 tissue specific isoforms (PDHK1–4), the activities of which are regulated by different factors, including hormones, hypoxia and nutrients. PDHK1 and PDHK3 are active in the hypoxic tumor microenvironment and inhibit PDC, resulting in a decrease of mitochondrial function and activation of the glycolytic pathway. High PDHK1/3 expression is associated with worse prognosis in patients, which makes them a promising target for cancer therapy. However, a better understanding of PDC's enzymatic regulation in vivo and of the mechanisms of PDHK-mediated malignant progression is necessary for the design of better PDHK inhibitors and the selection of patients most likely to benefit from such inhibitors.","DOI":"10.1002/ijc.31812","ISSN":"1097-0215","language":"en","author":[{"family":"Golias","given":"Tereza"},{"family":"Kery","given":"Martin"},{"family":"Radenkovic","given":"Silvia"},{"family":"Papandreou","given":"Ioanna"}],"issued":{"date-parts":[["2019"]]}}}],"schema":"https://github.com/citation-style-language/schema/raw/master/csl-citation.json"} </w:instrText>
      </w:r>
      <w:r w:rsidR="00910310">
        <w:rPr>
          <w:color w:val="000000"/>
          <w:u w:color="000000"/>
        </w:rPr>
        <w:fldChar w:fldCharType="separate"/>
      </w:r>
      <w:r w:rsidR="00910310" w:rsidRPr="00910310">
        <w:rPr>
          <w:color w:val="000000"/>
          <w:vertAlign w:val="superscript"/>
        </w:rPr>
        <w:t>11</w:t>
      </w:r>
      <w:r w:rsidR="00910310">
        <w:rPr>
          <w:color w:val="000000"/>
          <w:u w:color="000000"/>
        </w:rPr>
        <w:fldChar w:fldCharType="end"/>
      </w:r>
      <w:r>
        <w:rPr>
          <w:color w:val="000000"/>
          <w:u w:color="000000"/>
        </w:rPr>
        <w:t>. A PDHK inhibitor, Dichloroacetic acid (IC50, 81.03 mM), upregulates apoptosis of ovarian cancer cells</w:t>
      </w:r>
      <w:r w:rsidR="00CF1497">
        <w:rPr>
          <w:color w:val="000000"/>
          <w:u w:color="000000"/>
        </w:rPr>
        <w:t xml:space="preserve"> </w:t>
      </w:r>
      <w:r w:rsidR="00CF1497">
        <w:rPr>
          <w:color w:val="000000"/>
          <w:u w:color="000000"/>
        </w:rPr>
        <w:fldChar w:fldCharType="begin"/>
      </w:r>
      <w:r w:rsidR="00CF1497">
        <w:rPr>
          <w:color w:val="000000"/>
          <w:u w:color="000000"/>
        </w:rPr>
        <w:instrText xml:space="preserve"> ADDIN ZOTERO_ITEM CSL_CITATION {"citationID":"hoP7e0Po","properties":{"formattedCitation":"\\super 12\\nosupersub{}","plainCitation":"12","noteIndex":0},"citationItems":[{"id":80,"uris":["http://zotero.org/users/local/v5TN90UQ/items/TR7JC32I"],"uri":["http://zotero.org/users/local/v5TN90UQ/items/TR7JC32I"],"itemData":{"id":80,"type":"webpage","title":"&lt;p&gt;Dichloroacetic acid upregulates apoptosis of ovarian cancer cells by regulating mitochondrial function&lt;/p&gt;","container-title":"OncoTargets and Therapy","abstract":"Dichloroacetic acid upregulates apoptosis of ovarian cancer cells by regulating mitochondrial function Li Zhou,1 Lianlian Liu,2 Wei Chai,1 Ting Zhao,1 Xin Jin,3 Xinxin Guo,1 Liying Han,2 Chunli Yuan1  1Department of Obstetrics and Gynecology, The First Hospital of Jilin University, Changchun 130021, China; 2Department of Obstetrics and Gynecology, The Second Hospital of Jilin University, Changchun 130041, China; 3Department of Obstetrics and Gynecology, Dalian Municipal Women and Children’s Medical Center, Dalian 130041, China  Background: Metabolic reprogramming is a characteristic of tumor cells and is considered a potential therapeutic target. Even under aerobic conditions, tumor cells use glycolysis to produce energy, a phenomenon called the “Warburg effect”. Pyruvate dehydrogenase kinase 1 (PDK1) is a key factor linking glycolysis and the tricarboxylic acid cycle. Dichloroacetic acid (DCA) reverses the Warburg effect by inhibition of PDK1 to switch cytoplasmic glucose metabolism to mitochondrial oxidative phosphorylation (OXPHOS).Methods: Cell viability was examined using a standard MTT assay. Glucose consumption and l-lactate production were measured using commercial colorimetric kits, and intracellular lactate dehydrogenase (LDH) activity was evaluated using cell lysates and an LDH Quantification Kit. Real-time PCR was used to detect the expression of related genes. The production of total ROS was evaluated by staining with dichlorofluorescin diacetate.Results: Comparison of various aspects of glucose metabolism, such as expression of key enzymes in glycolysis, lactate production, glucose consumption, mitochondrial oxygen consumption rate, and citric acid production, revealed that A2780/DDP cells were primarily dependent on glycolysis whereas A2780 cells were primarily dependent on mitochondrial OXPHOS. Mitochondrial uncoupling protein 2 (UCP2) protects against mitochondrial ROS while allowing energy metabolism to switch to glycolysis. Treatment of A2780 cells with various concentrations of DCA resulted in decreased expression of UCP2, a metabolic switch from glycolysis to mitochondrial OXPHOS, and an increase in oxidative stress induced by ROS. These effects were not observed in A2780/DDP cells with higher UCP2 expression suggesting that UCP2 might induce changes in mitochondrial functions that result in different sensitivities to DCA.Conclusion: Our results show that a drug targeting tumor metabolic changes affects almost the entire process of glucose metabolism. Thus, it is necessary to comprehensively determine tumor metabolic functions to facilitate individualized antitumor therapy.  Keywords: DCA, glycolysis, mitochondrial function, glucose, metabolism","URL":"https://www.dovepress.com/dichloroacetic-acid-upregulates-apoptosis-of-ovarian-cancer-cells-by-r-peer-reviewed-fulltext-article-OTT","note":"DOI: 10.2147/OTT.S194329","language":"English","author":[{"family":"Zhou","given":"Li"},{"family":"Liu","given":"Lianlian"},{"family":"Chai","given":"Wei"},{"family":"Zhao","given":"Ting"},{"family":"Jin","given":"Xin"},{"family":"Guo","given":"Xinxin"},{"family":"Han","given":"Liying"},{"family":"Yuan","given":"Chunli"}],"issued":{"date-parts":[["2019",2,28]]},"accessed":{"date-parts":[["2019",12,3]]}}}],"schema":"https://github.com/citation-style-language/schema/raw/master/csl-citation.json"} </w:instrText>
      </w:r>
      <w:r w:rsidR="00CF1497">
        <w:rPr>
          <w:color w:val="000000"/>
          <w:u w:color="000000"/>
        </w:rPr>
        <w:fldChar w:fldCharType="separate"/>
      </w:r>
      <w:r w:rsidR="00CF1497" w:rsidRPr="00CF1497">
        <w:rPr>
          <w:color w:val="000000"/>
          <w:vertAlign w:val="superscript"/>
        </w:rPr>
        <w:t>12</w:t>
      </w:r>
      <w:r w:rsidR="00CF1497">
        <w:rPr>
          <w:color w:val="000000"/>
          <w:u w:color="000000"/>
        </w:rPr>
        <w:fldChar w:fldCharType="end"/>
      </w:r>
      <w:r w:rsidR="00CF1497">
        <w:rPr>
          <w:color w:val="000000"/>
          <w:u w:color="000000"/>
        </w:rPr>
        <w:t xml:space="preserve">. </w:t>
      </w:r>
      <w:r>
        <w:rPr>
          <w:color w:val="000000"/>
          <w:u w:color="000000"/>
        </w:rPr>
        <w:t xml:space="preserve">The prediction of PDHK activity on re-current GLI mutation sites, makes it of interest in assessing its inhibition in Basal Cell Carcinoma. NIMA Related Kinase (NEK1) affects </w:t>
      </w:r>
      <w:proofErr w:type="spellStart"/>
      <w:r>
        <w:rPr>
          <w:color w:val="000000"/>
          <w:u w:color="000000"/>
        </w:rPr>
        <w:t>Hh</w:t>
      </w:r>
      <w:proofErr w:type="spellEnd"/>
      <w:r>
        <w:rPr>
          <w:color w:val="000000"/>
          <w:u w:color="000000"/>
        </w:rPr>
        <w:t xml:space="preserve"> signaling through its role </w:t>
      </w:r>
      <w:r w:rsidR="00850FAC">
        <w:rPr>
          <w:color w:val="000000"/>
          <w:u w:color="000000"/>
        </w:rPr>
        <w:t>regulating primary cilia</w:t>
      </w:r>
      <w:r>
        <w:rPr>
          <w:color w:val="000000"/>
          <w:u w:color="000000"/>
        </w:rPr>
        <w:t xml:space="preserve"> and </w:t>
      </w:r>
      <w:r w:rsidR="00FC6681">
        <w:rPr>
          <w:color w:val="000000"/>
          <w:u w:color="000000"/>
        </w:rPr>
        <w:t>has demonstrated activity in cancer</w:t>
      </w:r>
      <w:r>
        <w:rPr>
          <w:color w:val="000000"/>
          <w:u w:color="000000"/>
        </w:rPr>
        <w:t xml:space="preserve"> </w:t>
      </w:r>
      <w:r w:rsidR="00CF1497">
        <w:rPr>
          <w:color w:val="000000"/>
          <w:u w:color="000000"/>
        </w:rPr>
        <w:fldChar w:fldCharType="begin"/>
      </w:r>
      <w:r w:rsidR="00CF1497">
        <w:rPr>
          <w:color w:val="000000"/>
          <w:u w:color="000000"/>
        </w:rPr>
        <w:instrText xml:space="preserve"> ADDIN ZOTERO_ITEM CSL_CITATION {"citationID":"N1qRADYu","properties":{"formattedCitation":"\\super 13,14\\nosupersub{}","plainCitation":"13,14","noteIndex":0},"citationItems":[{"id":83,"uris":["http://zotero.org/users/local/v5TN90UQ/items/JH4KYPR9"],"uri":["http://zotero.org/users/local/v5TN90UQ/items/JH4KYPR9"],"itemData":{"id":83,"type":"article-journal","title":"NEK1 kinase domain structure and its dynamic protein interactome after exposure to Cisplatin","container-title":"Scientific Reports","volume":"7","source":"PubMed Central","abstract":"NEK family kinases are serine/threonine kinases that have been functionally implicated in the regulation of the disjunction of the centrosome, the assembly of the mitotic spindle, the function of the primary cilium and the DNA damage response. NEK1 shows pleiotropic functions and has been found to be mutated in cancer cells, ciliopathies such as the polycystic kidney disease, as well as in the genetic diseases short-rib thoracic dysplasia, Mohr-syndrome and amyotrophic lateral sclerosis. NEK1 is essential for the ionizing radiation DNA damage response and priming of the ATR kinase and of Rad54 through phosphorylation. Here we report on the structure of the kinase domain of human NEK1 in its apo- and ATP-mimetic inhibitor bound forms. The inhibitor bound structure may allow the design of NEK specific chemo-sensitizing agents to act in conjunction with chemo- or radiation therapy of cancer cells. Furthermore, we characterized the dynamic protein interactome of NEK1 after DNA damage challenge with cisplatin. Our data suggest that NEK1 and its interaction partners trigger the DNA damage pathways responsible for correcting DNA crosslinks.","URL":"https://www.ncbi.nlm.nih.gov/pmc/articles/PMC5511132/","DOI":"10.1038/s41598-017-05325-w","ISSN":"2045-2322","note":"PMID: 28710492\nPMCID: PMC5511132","journalAbbreviation":"Sci Rep","author":[{"family":"Melo-Hanchuk","given":"Talita D."},{"family":"Slepicka","given":"Priscila Ferreira"},{"family":"Meirelles","given":"Gabriela Vaz"},{"family":"Basei","given":"Fernanda Luisa"},{"family":"Lovato","given":"Diogo Ventura"},{"family":"Granato","given":"Daniela Campos"},{"family":"Pauletti","given":"Bianca Alves"},{"family":"Domingues","given":"Romenia Ramos"},{"family":"Leme","given":"Adriana Franco Paes"},{"family":"Pelegrini","given":"Alessandra Luiza"},{"family":"Lenz","given":"Guido"},{"family":"Knapp","given":"Stefan"},{"family":"Elkins","given":"Jonathan M."},{"family":"Kobarg","given":"Jörg"}],"issued":{"date-parts":[["2017",7,14]]},"accessed":{"date-parts":[["2019",12,3]]}},"label":"page"},{"id":77,"uris":["http://zotero.org/users/local/v5TN90UQ/items/AKUAR64X"],"uri":["http://zotero.org/users/local/v5TN90UQ/items/AKUAR64X"],"itemData":{"id":77,"type":"article-journal","title":"Kinome siRNA Screen Identifies Regulators of Ciliogenesis and Hedgehog Signal Transduction","container-title":"Science Signaling","page":"ra7-ra7","volume":"1","issue":"39","source":"stke.sciencemag.org","abstract":"Disruption or improper activation of the Hedgehog (Hh) pathway is associated with developmental abnormalities and cancer. Although characterized in Drosophila, the mechanisms that mediate the Hh signal downstream of the Smoothened (Smo) seven-transmembrane protein in vertebrates remain poorly understood. In particular, the Fused (Fu) kinase, which mediates Hh signaling in flies, is dispensable in mammals. To identify kinases that positively regulate the Hh pathway in mammals, we screened a mouse kinome small interfering RNA library and validated nine candidates that modulate Hh signaling. Among these candidates, Nek1 and Prkra did not directly function in the Hh pathway but exerted their effects on Hh signaling indirectly through a primary role in ciliogenesis. In contrast, another kinase, Cdc2l1, directly participated in the Hh pathway. Cdc2l1 was necessary and sufficient for activation of the Hh pathway, functioning downstream of Smo and upstream of the Glioma-associated (Gli) transcription factors. More specifically, Cdc2l1 interacted with the negative regulator Suppressor of Fused (Sufu) and relieved its inhibition on Gli, thus providing a mechanism for how Cdc2l1 might play a role in Hh signaling. Finally, with zebrafish as model organism, we showed that Cdc2l1 activated the Hh pathway in vivo. We propose that Cdc2l1 is a previously unrecognized member of the Hh signal transduction cascade.\nCdc2l1is a component of the Hh signaling pathway and opposes the activity of the negative regulator Sufu.\nCdc2l1is a component of the Hh signaling pathway and opposes the activity of the negative regulator Sufu.","DOI":"10.1126/scisignal.1162925","ISSN":"1945-0877, 1937-9145","note":"PMID: 18827223","journalAbbreviation":"Sci. Signal.","language":"en","author":[{"family":"Evangelista","given":"Marie"},{"family":"Lim","given":"Tze Yang"},{"family":"Lee","given":"James"},{"family":"Parker","given":"Leon"},{"family":"Ashique","given":"Amir"},{"family":"Peterson","given":"Andrew S."},{"family":"Ye","given":"Weilan"},{"family":"Davis","given":"David P."},{"family":"Sauvage","given":"Frederic J.","dropping-particle":"de"}],"issued":{"date-parts":[["2008",9,30]]}},"label":"page"}],"schema":"https://github.com/citation-style-language/schema/raw/master/csl-citation.json"} </w:instrText>
      </w:r>
      <w:r w:rsidR="00CF1497">
        <w:rPr>
          <w:color w:val="000000"/>
          <w:u w:color="000000"/>
        </w:rPr>
        <w:fldChar w:fldCharType="separate"/>
      </w:r>
      <w:r w:rsidR="00CF1497" w:rsidRPr="00CF1497">
        <w:rPr>
          <w:color w:val="000000"/>
          <w:vertAlign w:val="superscript"/>
        </w:rPr>
        <w:t>13,14</w:t>
      </w:r>
      <w:r w:rsidR="00CF1497">
        <w:rPr>
          <w:color w:val="000000"/>
          <w:u w:color="000000"/>
        </w:rPr>
        <w:fldChar w:fldCharType="end"/>
      </w:r>
      <w:r>
        <w:rPr>
          <w:color w:val="000000"/>
          <w:u w:color="000000"/>
        </w:rPr>
        <w:t>. Zinc05007751 is a</w:t>
      </w:r>
      <w:r w:rsidR="00C23D50">
        <w:rPr>
          <w:color w:val="000000"/>
          <w:u w:color="000000"/>
        </w:rPr>
        <w:t xml:space="preserve"> highly </w:t>
      </w:r>
      <w:r>
        <w:rPr>
          <w:color w:val="000000"/>
          <w:u w:color="000000"/>
        </w:rPr>
        <w:t xml:space="preserve">selective NEK1 inhibitor with an IC50 of 3.4 </w:t>
      </w:r>
      <w:r w:rsidR="00F30989">
        <w:rPr>
          <w:rFonts w:ascii="Symbol" w:hAnsi="Symbol" w:cs="Symbol"/>
          <w:color w:val="000000"/>
          <w:u w:color="000000"/>
        </w:rPr>
        <w:sym w:font="Symbol" w:char="F06D"/>
      </w:r>
      <w:r>
        <w:rPr>
          <w:color w:val="000000"/>
          <w:u w:color="000000"/>
        </w:rPr>
        <w:t xml:space="preserve">M. As MAP2K1, PDHK and NEK1 kinases are predicted to be active at recurrent mutation sites in GLI, their inhibition is predicted to influence transcriptional activity and </w:t>
      </w:r>
      <w:r w:rsidR="00FC6681">
        <w:rPr>
          <w:color w:val="000000"/>
          <w:u w:color="000000"/>
        </w:rPr>
        <w:t xml:space="preserve">activate </w:t>
      </w:r>
      <w:r>
        <w:rPr>
          <w:color w:val="000000"/>
          <w:u w:color="000000"/>
        </w:rPr>
        <w:t xml:space="preserve">Hedgehog Signaling. </w:t>
      </w:r>
    </w:p>
    <w:p w14:paraId="288F233B" w14:textId="77777777" w:rsidR="005F76BD" w:rsidRDefault="005F76BD" w:rsidP="005F76BD">
      <w:pPr>
        <w:autoSpaceDE w:val="0"/>
        <w:autoSpaceDN w:val="0"/>
        <w:adjustRightInd w:val="0"/>
        <w:rPr>
          <w:color w:val="000000"/>
          <w:u w:color="000000"/>
        </w:rPr>
      </w:pPr>
    </w:p>
    <w:p w14:paraId="5790F4DB" w14:textId="77777777" w:rsidR="005F76BD" w:rsidRDefault="005F76BD" w:rsidP="005F76BD">
      <w:pPr>
        <w:autoSpaceDE w:val="0"/>
        <w:autoSpaceDN w:val="0"/>
        <w:adjustRightInd w:val="0"/>
        <w:rPr>
          <w:color w:val="000000"/>
          <w:u w:color="000000"/>
        </w:rPr>
      </w:pPr>
      <w:r>
        <w:rPr>
          <w:b/>
          <w:bCs/>
          <w:color w:val="000000"/>
          <w:u w:color="000000"/>
        </w:rPr>
        <w:t>Hypothesis</w:t>
      </w:r>
      <w:r>
        <w:rPr>
          <w:color w:val="000000"/>
          <w:u w:color="000000"/>
        </w:rPr>
        <w:t xml:space="preserve"> </w:t>
      </w:r>
    </w:p>
    <w:p w14:paraId="1647564B" w14:textId="54BC949E" w:rsidR="005F76BD" w:rsidRDefault="005F76BD" w:rsidP="005F76BD">
      <w:pPr>
        <w:autoSpaceDE w:val="0"/>
        <w:autoSpaceDN w:val="0"/>
        <w:adjustRightInd w:val="0"/>
        <w:ind w:firstLine="720"/>
        <w:rPr>
          <w:color w:val="000000"/>
          <w:u w:color="000000"/>
        </w:rPr>
      </w:pPr>
      <w:r>
        <w:rPr>
          <w:color w:val="000000"/>
          <w:u w:color="000000"/>
        </w:rPr>
        <w:t>We hypothesize that MAP2K1, PDHK and NEK1 kinases</w:t>
      </w:r>
      <w:r w:rsidR="00C23D50">
        <w:rPr>
          <w:color w:val="000000"/>
          <w:u w:color="000000"/>
        </w:rPr>
        <w:t xml:space="preserve"> which have been predicted to be active at recurrent GLI mutation sites and influence Hedgehog Signaling or cancer</w:t>
      </w:r>
      <w:r>
        <w:rPr>
          <w:color w:val="000000"/>
          <w:u w:color="000000"/>
        </w:rPr>
        <w:t xml:space="preserve"> increase Hedgehog Signaling</w:t>
      </w:r>
      <w:r w:rsidR="00C23D50">
        <w:rPr>
          <w:color w:val="000000"/>
          <w:u w:color="000000"/>
        </w:rPr>
        <w:t xml:space="preserve"> activity</w:t>
      </w:r>
      <w:r>
        <w:rPr>
          <w:color w:val="000000"/>
          <w:u w:color="000000"/>
        </w:rPr>
        <w:t xml:space="preserve">. </w:t>
      </w:r>
    </w:p>
    <w:p w14:paraId="205FB44A" w14:textId="77777777" w:rsidR="0090541E" w:rsidRDefault="0090541E" w:rsidP="005F76BD">
      <w:pPr>
        <w:autoSpaceDE w:val="0"/>
        <w:autoSpaceDN w:val="0"/>
        <w:adjustRightInd w:val="0"/>
        <w:rPr>
          <w:color w:val="000000"/>
          <w:u w:color="000000"/>
        </w:rPr>
      </w:pPr>
    </w:p>
    <w:p w14:paraId="108AB14A" w14:textId="60485BD0" w:rsidR="005F76BD" w:rsidRDefault="005F76BD" w:rsidP="005F76BD">
      <w:pPr>
        <w:autoSpaceDE w:val="0"/>
        <w:autoSpaceDN w:val="0"/>
        <w:adjustRightInd w:val="0"/>
        <w:rPr>
          <w:b/>
          <w:bCs/>
          <w:color w:val="000000"/>
          <w:u w:color="000000"/>
        </w:rPr>
      </w:pPr>
      <w:r>
        <w:rPr>
          <w:b/>
          <w:bCs/>
          <w:color w:val="000000"/>
          <w:u w:color="000000"/>
        </w:rPr>
        <w:lastRenderedPageBreak/>
        <w:t xml:space="preserve">Materials and Methods </w:t>
      </w:r>
    </w:p>
    <w:p w14:paraId="33C02C44" w14:textId="77777777" w:rsidR="005F76BD" w:rsidRDefault="005F76BD" w:rsidP="005F76BD">
      <w:pPr>
        <w:autoSpaceDE w:val="0"/>
        <w:autoSpaceDN w:val="0"/>
        <w:adjustRightInd w:val="0"/>
        <w:rPr>
          <w:b/>
          <w:bCs/>
          <w:color w:val="000000"/>
          <w:u w:color="000000"/>
        </w:rPr>
      </w:pPr>
      <w:r>
        <w:rPr>
          <w:b/>
          <w:bCs/>
          <w:color w:val="000000"/>
          <w:u w:color="000000"/>
        </w:rPr>
        <w:t xml:space="preserve">Kinase Prediction </w:t>
      </w:r>
    </w:p>
    <w:p w14:paraId="6E6EF202" w14:textId="001BE738" w:rsidR="005F76BD" w:rsidRDefault="005F76BD" w:rsidP="00C23D50">
      <w:pPr>
        <w:autoSpaceDE w:val="0"/>
        <w:autoSpaceDN w:val="0"/>
        <w:adjustRightInd w:val="0"/>
        <w:ind w:firstLine="720"/>
        <w:rPr>
          <w:color w:val="000000"/>
          <w:u w:color="000000"/>
        </w:rPr>
      </w:pPr>
      <w:r>
        <w:rPr>
          <w:color w:val="000000"/>
          <w:u w:color="000000"/>
        </w:rPr>
        <w:t xml:space="preserve">A compilation of GLI1 and GLI2 mutations that occur three or more times in cancer cells in the Catalogue of Somatic Mutations in Cancer (COSMIC) database have been generated and previously screened for activation of the Hedgehog Signaling Pathway in the Atwood Lab. </w:t>
      </w:r>
      <w:r w:rsidR="00850FAC">
        <w:rPr>
          <w:color w:val="000000"/>
          <w:u w:color="000000"/>
        </w:rPr>
        <w:t xml:space="preserve">It was found that these mutation sites are </w:t>
      </w:r>
      <w:proofErr w:type="spellStart"/>
      <w:r w:rsidR="00850FAC">
        <w:rPr>
          <w:color w:val="000000"/>
          <w:u w:color="000000"/>
        </w:rPr>
        <w:t>phosphosites</w:t>
      </w:r>
      <w:proofErr w:type="spellEnd"/>
      <w:r w:rsidR="00850FAC">
        <w:rPr>
          <w:color w:val="000000"/>
          <w:u w:color="000000"/>
        </w:rPr>
        <w:t xml:space="preserve"> which can be influenced by kinase activity. </w:t>
      </w:r>
      <w:proofErr w:type="spellStart"/>
      <w:r w:rsidR="00C23D50">
        <w:rPr>
          <w:color w:val="000000"/>
          <w:u w:color="000000"/>
        </w:rPr>
        <w:t>In</w:t>
      </w:r>
      <w:proofErr w:type="spellEnd"/>
      <w:r w:rsidR="00C23D50">
        <w:rPr>
          <w:color w:val="000000"/>
          <w:u w:color="000000"/>
        </w:rPr>
        <w:t xml:space="preserve"> this project, kinases which are predicted to be active </w:t>
      </w:r>
      <w:r w:rsidR="00850FAC">
        <w:rPr>
          <w:color w:val="000000"/>
          <w:u w:color="000000"/>
        </w:rPr>
        <w:t xml:space="preserve">within four residues of a </w:t>
      </w:r>
      <w:r w:rsidR="00C23D50">
        <w:rPr>
          <w:color w:val="000000"/>
          <w:u w:color="000000"/>
        </w:rPr>
        <w:t>recurring mutation si</w:t>
      </w:r>
      <w:r w:rsidR="00850FAC">
        <w:rPr>
          <w:color w:val="000000"/>
          <w:u w:color="000000"/>
        </w:rPr>
        <w:t>t</w:t>
      </w:r>
      <w:r w:rsidR="00C23D50">
        <w:rPr>
          <w:color w:val="000000"/>
          <w:u w:color="000000"/>
        </w:rPr>
        <w:t>e u</w:t>
      </w:r>
      <w:r>
        <w:rPr>
          <w:color w:val="000000"/>
          <w:u w:color="000000"/>
        </w:rPr>
        <w:t xml:space="preserve">sing Group-Based Prediction Software (GPS) and </w:t>
      </w:r>
      <w:proofErr w:type="spellStart"/>
      <w:r>
        <w:rPr>
          <w:color w:val="000000"/>
          <w:u w:color="000000"/>
        </w:rPr>
        <w:t>PhosphoNet</w:t>
      </w:r>
      <w:proofErr w:type="spellEnd"/>
      <w:r>
        <w:rPr>
          <w:color w:val="000000"/>
          <w:u w:color="000000"/>
        </w:rPr>
        <w:t xml:space="preserve"> Kinase Predictor</w:t>
      </w:r>
      <w:r w:rsidR="00C23D50">
        <w:rPr>
          <w:color w:val="000000"/>
          <w:u w:color="000000"/>
        </w:rPr>
        <w:t xml:space="preserve"> are compiled. </w:t>
      </w:r>
      <w:r>
        <w:rPr>
          <w:color w:val="000000"/>
          <w:u w:color="000000"/>
        </w:rPr>
        <w:t xml:space="preserve">Kinase candidates having previous evidence of mediating phosphorylation and activating Hedgehog Signaling at a </w:t>
      </w:r>
      <w:r w:rsidR="00C23D50">
        <w:rPr>
          <w:color w:val="000000"/>
          <w:u w:color="000000"/>
        </w:rPr>
        <w:t xml:space="preserve">particular </w:t>
      </w:r>
      <w:r>
        <w:rPr>
          <w:color w:val="000000"/>
          <w:u w:color="000000"/>
        </w:rPr>
        <w:t>mutation site were eliminated from the compilation. Previous insight into their activity in</w:t>
      </w:r>
      <w:r w:rsidR="00850FAC">
        <w:rPr>
          <w:color w:val="000000"/>
          <w:u w:color="000000"/>
        </w:rPr>
        <w:t xml:space="preserve"> cilia development</w:t>
      </w:r>
      <w:r>
        <w:rPr>
          <w:color w:val="000000"/>
          <w:u w:color="000000"/>
        </w:rPr>
        <w:t xml:space="preserve"> or cancer</w:t>
      </w:r>
      <w:r w:rsidR="00850FAC">
        <w:rPr>
          <w:color w:val="000000"/>
          <w:u w:color="000000"/>
        </w:rPr>
        <w:t xml:space="preserve"> as well as inhibitor accessibility</w:t>
      </w:r>
      <w:r>
        <w:rPr>
          <w:color w:val="000000"/>
          <w:u w:color="000000"/>
        </w:rPr>
        <w:t xml:space="preserve"> </w:t>
      </w:r>
      <w:r w:rsidR="00850FAC">
        <w:rPr>
          <w:color w:val="000000"/>
          <w:u w:color="000000"/>
        </w:rPr>
        <w:t xml:space="preserve">drove the selection of </w:t>
      </w:r>
      <w:r>
        <w:rPr>
          <w:color w:val="000000"/>
          <w:u w:color="000000"/>
        </w:rPr>
        <w:t xml:space="preserve">MAP2K1, PDHK and NEK1 to </w:t>
      </w:r>
      <w:r w:rsidR="00850FAC">
        <w:rPr>
          <w:color w:val="000000"/>
          <w:u w:color="000000"/>
        </w:rPr>
        <w:t xml:space="preserve">experimentally </w:t>
      </w:r>
      <w:r>
        <w:rPr>
          <w:color w:val="000000"/>
          <w:u w:color="000000"/>
        </w:rPr>
        <w:t xml:space="preserve">evaluate Hedgehog Signaling effects due to kinase activity. </w:t>
      </w:r>
    </w:p>
    <w:p w14:paraId="3147379B" w14:textId="77777777" w:rsidR="005F76BD" w:rsidRDefault="005F76BD" w:rsidP="005F76BD">
      <w:pPr>
        <w:autoSpaceDE w:val="0"/>
        <w:autoSpaceDN w:val="0"/>
        <w:adjustRightInd w:val="0"/>
        <w:rPr>
          <w:color w:val="000000"/>
          <w:u w:color="000000"/>
        </w:rPr>
      </w:pPr>
    </w:p>
    <w:p w14:paraId="142CF8F9" w14:textId="77777777" w:rsidR="005F76BD" w:rsidRDefault="005F76BD" w:rsidP="005F76BD">
      <w:pPr>
        <w:autoSpaceDE w:val="0"/>
        <w:autoSpaceDN w:val="0"/>
        <w:adjustRightInd w:val="0"/>
        <w:rPr>
          <w:b/>
          <w:bCs/>
          <w:color w:val="000000"/>
          <w:u w:color="000000"/>
        </w:rPr>
      </w:pPr>
      <w:r>
        <w:rPr>
          <w:b/>
          <w:bCs/>
          <w:color w:val="000000"/>
          <w:u w:color="000000"/>
        </w:rPr>
        <w:t>Cell Dosing, RNA Extraction, RT-qPCR</w:t>
      </w:r>
    </w:p>
    <w:p w14:paraId="1C581CC2" w14:textId="219E2278" w:rsidR="005F76BD" w:rsidRDefault="005F76BD" w:rsidP="005F76BD">
      <w:pPr>
        <w:autoSpaceDE w:val="0"/>
        <w:autoSpaceDN w:val="0"/>
        <w:adjustRightInd w:val="0"/>
        <w:rPr>
          <w:color w:val="000000"/>
          <w:u w:color="000000"/>
        </w:rPr>
      </w:pPr>
      <w:r>
        <w:rPr>
          <w:b/>
          <w:bCs/>
          <w:color w:val="000000"/>
          <w:u w:color="000000"/>
        </w:rPr>
        <w:tab/>
      </w:r>
      <w:r>
        <w:rPr>
          <w:color w:val="000000"/>
          <w:u w:color="000000"/>
        </w:rPr>
        <w:t xml:space="preserve">Cobimetinib, Dichloroacetic Acid, and Zinc05007751 are selected as inhibitors for MAP2K1, PDHK and NEK1 </w:t>
      </w:r>
      <w:r w:rsidR="00C23D50">
        <w:rPr>
          <w:color w:val="000000"/>
          <w:u w:color="000000"/>
        </w:rPr>
        <w:t xml:space="preserve">respectively </w:t>
      </w:r>
      <w:r>
        <w:rPr>
          <w:color w:val="000000"/>
          <w:u w:color="000000"/>
        </w:rPr>
        <w:t xml:space="preserve">due to their availability, specificity and IC50 range. To promote the generation of primary cilia and Hedgehog Pathway activation, </w:t>
      </w:r>
      <w:r w:rsidR="0040106F">
        <w:rPr>
          <w:color w:val="000000"/>
          <w:u w:color="000000"/>
        </w:rPr>
        <w:t xml:space="preserve">Wild Type (3T3) </w:t>
      </w:r>
      <w:r>
        <w:rPr>
          <w:color w:val="000000"/>
          <w:u w:color="000000"/>
        </w:rPr>
        <w:t xml:space="preserve">cells are serum starved and serum starved with Hedgehog conditioned media immediately before treatment with these inhibitors. Inhibitors are added at their IC50s and serially increased on a logarithmic scale to three higher concentrations. Similarly, Basal Cell Carcinoma Cells are serum starved and treated with inhibitors as in Wild Type cells. These cell types and serum conditions are </w:t>
      </w:r>
      <w:r w:rsidR="00DB2CE2">
        <w:rPr>
          <w:color w:val="000000"/>
          <w:u w:color="000000"/>
        </w:rPr>
        <w:t xml:space="preserve">all </w:t>
      </w:r>
      <w:r>
        <w:rPr>
          <w:color w:val="000000"/>
          <w:u w:color="000000"/>
        </w:rPr>
        <w:t xml:space="preserve">treated with diluent only (DMSO) as a control. After 24 hours of incubation, RNA is extracted and quantified from both diluent and drug treated cells using the </w:t>
      </w:r>
      <w:proofErr w:type="spellStart"/>
      <w:r>
        <w:rPr>
          <w:color w:val="000000"/>
          <w:u w:color="000000"/>
        </w:rPr>
        <w:t>Zymo</w:t>
      </w:r>
      <w:proofErr w:type="spellEnd"/>
      <w:r>
        <w:rPr>
          <w:color w:val="000000"/>
          <w:u w:color="000000"/>
        </w:rPr>
        <w:t xml:space="preserve"> Research Direct-</w:t>
      </w:r>
      <w:proofErr w:type="spellStart"/>
      <w:r>
        <w:rPr>
          <w:color w:val="000000"/>
          <w:u w:color="000000"/>
        </w:rPr>
        <w:t>Zol</w:t>
      </w:r>
      <w:proofErr w:type="spellEnd"/>
      <w:r>
        <w:rPr>
          <w:color w:val="000000"/>
          <w:u w:color="000000"/>
        </w:rPr>
        <w:t xml:space="preserve"> RNA Miniprep Plus kit. Extracted RNA is amplified using RT-qPCR with primers specific for the GLI1 gene as a means of quantifying Hedgehog Signaling activation, as well as a GAPDH experimental control to quantify GLI expression.</w:t>
      </w:r>
      <w:r w:rsidR="0040106F">
        <w:rPr>
          <w:color w:val="000000"/>
          <w:u w:color="000000"/>
        </w:rPr>
        <w:t xml:space="preserve"> Fold change was normalized to the diluent only (DMSO) control in Serum Starved media (SS) for each cell line (3T3 and BCC). Standard error bars denote technical replicates between drug treated samples. </w:t>
      </w:r>
    </w:p>
    <w:p w14:paraId="7B541012" w14:textId="77777777" w:rsidR="005F76BD" w:rsidRDefault="005F76BD" w:rsidP="005F76BD">
      <w:pPr>
        <w:autoSpaceDE w:val="0"/>
        <w:autoSpaceDN w:val="0"/>
        <w:adjustRightInd w:val="0"/>
        <w:rPr>
          <w:b/>
          <w:bCs/>
          <w:color w:val="000000"/>
          <w:u w:color="000000"/>
        </w:rPr>
      </w:pPr>
    </w:p>
    <w:p w14:paraId="62F97B52" w14:textId="6DB65287" w:rsidR="005F76BD" w:rsidRDefault="00196B1D" w:rsidP="005F76BD">
      <w:pPr>
        <w:autoSpaceDE w:val="0"/>
        <w:autoSpaceDN w:val="0"/>
        <w:adjustRightInd w:val="0"/>
        <w:rPr>
          <w:b/>
          <w:bCs/>
          <w:color w:val="000000"/>
          <w:u w:color="000000"/>
        </w:rPr>
      </w:pPr>
      <w:r>
        <w:rPr>
          <w:b/>
          <w:bCs/>
          <w:color w:val="000000"/>
          <w:u w:color="000000"/>
        </w:rPr>
        <w:t>Metabolic Activity</w:t>
      </w:r>
      <w:r w:rsidR="004A1190">
        <w:rPr>
          <w:b/>
          <w:bCs/>
          <w:color w:val="000000"/>
          <w:u w:color="000000"/>
        </w:rPr>
        <w:t xml:space="preserve"> (MTT)</w:t>
      </w:r>
      <w:r w:rsidR="005F76BD">
        <w:rPr>
          <w:b/>
          <w:bCs/>
          <w:color w:val="000000"/>
          <w:u w:color="000000"/>
        </w:rPr>
        <w:t xml:space="preserve"> Assay </w:t>
      </w:r>
    </w:p>
    <w:p w14:paraId="29EDEA69" w14:textId="25B3BB1A" w:rsidR="00655776" w:rsidRDefault="005F76BD" w:rsidP="005F76BD">
      <w:pPr>
        <w:autoSpaceDE w:val="0"/>
        <w:autoSpaceDN w:val="0"/>
        <w:adjustRightInd w:val="0"/>
        <w:rPr>
          <w:color w:val="000000"/>
          <w:u w:color="000000"/>
        </w:rPr>
      </w:pPr>
      <w:r>
        <w:rPr>
          <w:color w:val="000000"/>
          <w:u w:color="000000"/>
        </w:rPr>
        <w:tab/>
        <w:t xml:space="preserve">To confirm that kinase inhibitors </w:t>
      </w:r>
      <w:r w:rsidR="001058B2">
        <w:rPr>
          <w:color w:val="000000"/>
          <w:u w:color="000000"/>
        </w:rPr>
        <w:t>would not</w:t>
      </w:r>
      <w:r>
        <w:rPr>
          <w:color w:val="000000"/>
          <w:u w:color="000000"/>
        </w:rPr>
        <w:t xml:space="preserve"> </w:t>
      </w:r>
      <w:r w:rsidR="001058B2">
        <w:rPr>
          <w:color w:val="000000"/>
          <w:u w:color="000000"/>
        </w:rPr>
        <w:t xml:space="preserve">cause cell death </w:t>
      </w:r>
      <w:r w:rsidR="001058B2" w:rsidRPr="001058B2">
        <w:rPr>
          <w:i/>
          <w:iCs/>
          <w:color w:val="000000"/>
          <w:u w:color="000000"/>
        </w:rPr>
        <w:t>in vivo</w:t>
      </w:r>
      <w:r>
        <w:rPr>
          <w:color w:val="000000"/>
          <w:u w:color="000000"/>
        </w:rPr>
        <w:t>, a</w:t>
      </w:r>
      <w:r w:rsidR="001058B2">
        <w:rPr>
          <w:color w:val="000000"/>
          <w:u w:color="000000"/>
        </w:rPr>
        <w:t>n</w:t>
      </w:r>
      <w:r>
        <w:rPr>
          <w:color w:val="000000"/>
          <w:u w:color="000000"/>
        </w:rPr>
        <w:t xml:space="preserve"> MTT Assay is conducted on diluent (DMSO) and drug treated BCC cells. Cells are seeded at 2,000 cells/well and grown to 50% confluence. Once desired confluence is achieved, kinase inhibitors (Cobimetinib, Dichloroacetic Acid, and Zinc05007751) are added at their IC50 and three logarithmically increased concentrations to the cells in replicates of six to allow for variability. When performing the assay, MTT reagent in PBS is added to the each well and allowed to incubate at 36°C for two hours protected from light. After incubation, the MTT reagent is removed and MTT solvent (DMSO) is added to the wells and allowed to shake. Cell proliferation is quantified by measuring the absorbance at 570 nm for BCC cells at 0, 2, </w:t>
      </w:r>
      <w:proofErr w:type="gramStart"/>
      <w:r>
        <w:rPr>
          <w:color w:val="000000"/>
          <w:u w:color="000000"/>
        </w:rPr>
        <w:t>4 and 6 days</w:t>
      </w:r>
      <w:proofErr w:type="gramEnd"/>
      <w:r>
        <w:rPr>
          <w:color w:val="000000"/>
          <w:u w:color="000000"/>
        </w:rPr>
        <w:t xml:space="preserve"> post drug </w:t>
      </w:r>
      <w:proofErr w:type="spellStart"/>
      <w:r>
        <w:rPr>
          <w:color w:val="000000"/>
          <w:u w:color="000000"/>
        </w:rPr>
        <w:t>addition</w:t>
      </w:r>
      <w:proofErr w:type="spellEnd"/>
      <w:r>
        <w:rPr>
          <w:color w:val="000000"/>
          <w:u w:color="000000"/>
        </w:rPr>
        <w:t>.</w:t>
      </w:r>
    </w:p>
    <w:p w14:paraId="59755966" w14:textId="513D6570" w:rsidR="00655776" w:rsidRDefault="00655776" w:rsidP="005F76BD">
      <w:pPr>
        <w:autoSpaceDE w:val="0"/>
        <w:autoSpaceDN w:val="0"/>
        <w:adjustRightInd w:val="0"/>
        <w:rPr>
          <w:color w:val="000000"/>
          <w:u w:color="000000"/>
        </w:rPr>
      </w:pPr>
    </w:p>
    <w:p w14:paraId="3DB0A99B" w14:textId="0D6154CE" w:rsidR="005F76BD" w:rsidRDefault="005F76BD" w:rsidP="005F76BD">
      <w:pPr>
        <w:autoSpaceDE w:val="0"/>
        <w:autoSpaceDN w:val="0"/>
        <w:adjustRightInd w:val="0"/>
        <w:rPr>
          <w:b/>
          <w:bCs/>
          <w:color w:val="000000"/>
          <w:u w:color="000000"/>
        </w:rPr>
      </w:pPr>
      <w:r>
        <w:rPr>
          <w:b/>
          <w:bCs/>
          <w:color w:val="000000"/>
          <w:u w:color="000000"/>
        </w:rPr>
        <w:t xml:space="preserve">Results </w:t>
      </w:r>
    </w:p>
    <w:p w14:paraId="6F592850" w14:textId="19E6FDBE" w:rsidR="00F4624C" w:rsidRPr="007C25F5" w:rsidRDefault="00A177B5" w:rsidP="005F76BD">
      <w:pPr>
        <w:autoSpaceDE w:val="0"/>
        <w:autoSpaceDN w:val="0"/>
        <w:adjustRightInd w:val="0"/>
        <w:rPr>
          <w:b/>
          <w:bCs/>
          <w:color w:val="000000"/>
          <w:u w:color="000000"/>
        </w:rPr>
      </w:pPr>
      <w:r w:rsidRPr="007C25F5">
        <w:rPr>
          <w:b/>
          <w:bCs/>
          <w:color w:val="000000"/>
          <w:u w:color="000000"/>
        </w:rPr>
        <w:t xml:space="preserve">Inhibition </w:t>
      </w:r>
      <w:r w:rsidR="007C25F5">
        <w:rPr>
          <w:b/>
          <w:bCs/>
          <w:color w:val="000000"/>
          <w:u w:color="000000"/>
        </w:rPr>
        <w:t xml:space="preserve">of MAP2K1/MEK1 </w:t>
      </w:r>
      <w:r w:rsidRPr="007C25F5">
        <w:rPr>
          <w:b/>
          <w:bCs/>
          <w:color w:val="000000"/>
          <w:u w:color="000000"/>
        </w:rPr>
        <w:t xml:space="preserve">does not impact </w:t>
      </w:r>
      <w:r w:rsidR="00850FAC">
        <w:rPr>
          <w:b/>
          <w:bCs/>
          <w:color w:val="000000"/>
          <w:u w:color="000000"/>
        </w:rPr>
        <w:t>a</w:t>
      </w:r>
      <w:r w:rsidRPr="007C25F5">
        <w:rPr>
          <w:b/>
          <w:bCs/>
          <w:color w:val="000000"/>
          <w:u w:color="000000"/>
        </w:rPr>
        <w:t xml:space="preserve">ctivation of Hedgehog Signaling </w:t>
      </w:r>
    </w:p>
    <w:p w14:paraId="1789C4DC" w14:textId="2620D98E" w:rsidR="0030172C" w:rsidRDefault="00F30989" w:rsidP="00F4624C">
      <w:pPr>
        <w:autoSpaceDE w:val="0"/>
        <w:autoSpaceDN w:val="0"/>
        <w:adjustRightInd w:val="0"/>
        <w:ind w:firstLine="720"/>
        <w:rPr>
          <w:color w:val="000000"/>
          <w:u w:color="000000"/>
        </w:rPr>
      </w:pPr>
      <w:r>
        <w:rPr>
          <w:color w:val="000000"/>
          <w:u w:color="000000"/>
        </w:rPr>
        <w:t>Previous evidence of the role of MAP2K1 in cancer and its ability to activate Hedgehog Signal</w:t>
      </w:r>
      <w:r w:rsidR="00156EFA">
        <w:rPr>
          <w:color w:val="000000"/>
          <w:u w:color="000000"/>
        </w:rPr>
        <w:t>i</w:t>
      </w:r>
      <w:r>
        <w:rPr>
          <w:color w:val="000000"/>
          <w:u w:color="000000"/>
        </w:rPr>
        <w:t>ng</w:t>
      </w:r>
      <w:r w:rsidR="00850FAC">
        <w:rPr>
          <w:color w:val="000000"/>
          <w:u w:color="000000"/>
        </w:rPr>
        <w:t xml:space="preserve"> proposed </w:t>
      </w:r>
      <w:r w:rsidR="00F17F37">
        <w:rPr>
          <w:color w:val="000000"/>
          <w:u w:color="000000"/>
        </w:rPr>
        <w:t>the hypothesis</w:t>
      </w:r>
      <w:r w:rsidR="00156EFA">
        <w:rPr>
          <w:color w:val="000000"/>
          <w:u w:color="000000"/>
        </w:rPr>
        <w:t xml:space="preserve"> that </w:t>
      </w:r>
      <w:r>
        <w:rPr>
          <w:color w:val="000000"/>
          <w:u w:color="000000"/>
        </w:rPr>
        <w:t xml:space="preserve">inhibiting this kinase with Cobimetinib would decrease </w:t>
      </w:r>
      <w:r>
        <w:rPr>
          <w:color w:val="000000"/>
          <w:u w:color="000000"/>
        </w:rPr>
        <w:lastRenderedPageBreak/>
        <w:t xml:space="preserve">Hedgehog Signaling activity. </w:t>
      </w:r>
      <w:r w:rsidR="001F3332">
        <w:rPr>
          <w:color w:val="000000"/>
          <w:u w:color="000000"/>
        </w:rPr>
        <w:t xml:space="preserve">GLI1 expression, indicative of Hedgehog Signaling, is not affected in the presence of </w:t>
      </w:r>
      <w:r w:rsidR="00F17F37">
        <w:rPr>
          <w:color w:val="000000"/>
          <w:u w:color="000000"/>
        </w:rPr>
        <w:t xml:space="preserve">MAP2K1/MEK1 Cobimetinib </w:t>
      </w:r>
      <w:r w:rsidR="001F3332">
        <w:rPr>
          <w:color w:val="000000"/>
          <w:u w:color="000000"/>
        </w:rPr>
        <w:t>kinase inhibitor</w:t>
      </w:r>
      <w:r w:rsidR="0030247B">
        <w:rPr>
          <w:color w:val="000000"/>
          <w:u w:color="000000"/>
        </w:rPr>
        <w:t xml:space="preserve"> at the concentrations tested</w:t>
      </w:r>
      <w:r w:rsidR="001F3332">
        <w:rPr>
          <w:color w:val="000000"/>
          <w:u w:color="000000"/>
        </w:rPr>
        <w:t xml:space="preserve"> (</w:t>
      </w:r>
      <w:r w:rsidR="001F3332" w:rsidRPr="001F3332">
        <w:rPr>
          <w:b/>
          <w:bCs/>
          <w:color w:val="000000"/>
          <w:u w:color="000000"/>
        </w:rPr>
        <w:t>Figure 1</w:t>
      </w:r>
      <w:r w:rsidR="001F3332">
        <w:rPr>
          <w:color w:val="000000"/>
          <w:u w:color="000000"/>
        </w:rPr>
        <w:t>).</w:t>
      </w:r>
      <w:r w:rsidR="00904217">
        <w:rPr>
          <w:color w:val="000000"/>
          <w:u w:color="000000"/>
        </w:rPr>
        <w:t xml:space="preserve"> Increased expression of GLI1 is observed for Wild Type (3T3) cells under serum starved with Hedgehog conditioned media (HH SS) </w:t>
      </w:r>
      <w:r w:rsidR="00F17F37">
        <w:rPr>
          <w:color w:val="000000"/>
          <w:u w:color="000000"/>
        </w:rPr>
        <w:t xml:space="preserve">in comparison to serum starved media </w:t>
      </w:r>
      <w:r w:rsidR="00904217">
        <w:rPr>
          <w:color w:val="000000"/>
          <w:u w:color="000000"/>
        </w:rPr>
        <w:t>as expected</w:t>
      </w:r>
      <w:r w:rsidR="004A1190">
        <w:rPr>
          <w:color w:val="000000"/>
          <w:u w:color="000000"/>
        </w:rPr>
        <w:t xml:space="preserve">. However, </w:t>
      </w:r>
      <w:r w:rsidR="00A177B5">
        <w:rPr>
          <w:color w:val="000000"/>
          <w:u w:color="000000"/>
        </w:rPr>
        <w:t>f</w:t>
      </w:r>
      <w:r w:rsidR="001F3332">
        <w:rPr>
          <w:color w:val="000000"/>
          <w:u w:color="000000"/>
        </w:rPr>
        <w:t xml:space="preserve">old </w:t>
      </w:r>
      <w:r w:rsidR="00A177B5">
        <w:rPr>
          <w:color w:val="000000"/>
          <w:u w:color="000000"/>
        </w:rPr>
        <w:t>c</w:t>
      </w:r>
      <w:r w:rsidR="001F3332">
        <w:rPr>
          <w:color w:val="000000"/>
          <w:u w:color="000000"/>
        </w:rPr>
        <w:t xml:space="preserve">hange </w:t>
      </w:r>
      <w:r w:rsidR="00156EFA">
        <w:rPr>
          <w:color w:val="000000"/>
          <w:u w:color="000000"/>
        </w:rPr>
        <w:t xml:space="preserve">does not vary </w:t>
      </w:r>
      <w:r w:rsidR="001F3332">
        <w:rPr>
          <w:color w:val="000000"/>
          <w:u w:color="000000"/>
        </w:rPr>
        <w:t xml:space="preserve">between </w:t>
      </w:r>
      <w:r w:rsidR="004A1190">
        <w:rPr>
          <w:color w:val="000000"/>
          <w:u w:color="000000"/>
        </w:rPr>
        <w:t xml:space="preserve">Cobimetinib concentrations of SS or HH SS treated 3T3 cells </w:t>
      </w:r>
      <w:r w:rsidR="00261D3D">
        <w:rPr>
          <w:color w:val="000000"/>
          <w:u w:color="000000"/>
        </w:rPr>
        <w:t>(</w:t>
      </w:r>
      <w:r w:rsidR="00261D3D" w:rsidRPr="00261D3D">
        <w:rPr>
          <w:b/>
          <w:bCs/>
          <w:color w:val="000000"/>
          <w:u w:color="000000"/>
        </w:rPr>
        <w:t>Figure 1</w:t>
      </w:r>
      <w:r w:rsidR="0030172C">
        <w:rPr>
          <w:b/>
          <w:bCs/>
          <w:color w:val="000000"/>
          <w:u w:color="000000"/>
        </w:rPr>
        <w:t>A</w:t>
      </w:r>
      <w:r w:rsidR="00261D3D">
        <w:rPr>
          <w:color w:val="000000"/>
          <w:u w:color="000000"/>
        </w:rPr>
        <w:t xml:space="preserve">). This </w:t>
      </w:r>
      <w:r w:rsidR="00156EFA">
        <w:rPr>
          <w:color w:val="000000"/>
          <w:u w:color="000000"/>
        </w:rPr>
        <w:t xml:space="preserve">observation is consistent in the </w:t>
      </w:r>
      <w:r w:rsidR="00261D3D">
        <w:rPr>
          <w:color w:val="000000"/>
          <w:u w:color="000000"/>
        </w:rPr>
        <w:t xml:space="preserve">Basal Cell Carcinoma (BCC) cell line with the exception of the 100 </w:t>
      </w:r>
      <w:proofErr w:type="spellStart"/>
      <w:r w:rsidR="00261D3D">
        <w:rPr>
          <w:color w:val="000000"/>
          <w:u w:color="000000"/>
        </w:rPr>
        <w:t>nM</w:t>
      </w:r>
      <w:proofErr w:type="spellEnd"/>
      <w:r w:rsidR="00261D3D">
        <w:rPr>
          <w:color w:val="000000"/>
          <w:u w:color="000000"/>
        </w:rPr>
        <w:t xml:space="preserve"> conc</w:t>
      </w:r>
      <w:r w:rsidR="0030247B">
        <w:rPr>
          <w:color w:val="000000"/>
          <w:u w:color="000000"/>
        </w:rPr>
        <w:t>entration</w:t>
      </w:r>
      <w:r w:rsidR="00261D3D">
        <w:rPr>
          <w:color w:val="000000"/>
          <w:u w:color="000000"/>
        </w:rPr>
        <w:t xml:space="preserve"> of </w:t>
      </w:r>
      <w:r w:rsidR="0030247B">
        <w:rPr>
          <w:color w:val="000000"/>
          <w:u w:color="000000"/>
        </w:rPr>
        <w:t>Cobimetinib</w:t>
      </w:r>
      <w:r w:rsidR="00261D3D">
        <w:rPr>
          <w:color w:val="000000"/>
          <w:u w:color="000000"/>
        </w:rPr>
        <w:t xml:space="preserve"> (</w:t>
      </w:r>
      <w:r w:rsidR="00261D3D" w:rsidRPr="00261D3D">
        <w:rPr>
          <w:b/>
          <w:bCs/>
          <w:color w:val="000000"/>
          <w:u w:color="000000"/>
        </w:rPr>
        <w:t>Figure 1</w:t>
      </w:r>
      <w:r w:rsidR="0030172C">
        <w:rPr>
          <w:b/>
          <w:bCs/>
          <w:color w:val="000000"/>
          <w:u w:color="000000"/>
        </w:rPr>
        <w:t>B</w:t>
      </w:r>
      <w:r w:rsidR="00261D3D">
        <w:rPr>
          <w:color w:val="000000"/>
          <w:u w:color="000000"/>
        </w:rPr>
        <w:t xml:space="preserve">). </w:t>
      </w:r>
    </w:p>
    <w:p w14:paraId="2EE5BE60" w14:textId="222C85D7" w:rsidR="0030172C" w:rsidRDefault="0030172C" w:rsidP="00F4624C">
      <w:pPr>
        <w:autoSpaceDE w:val="0"/>
        <w:autoSpaceDN w:val="0"/>
        <w:adjustRightInd w:val="0"/>
        <w:ind w:firstLine="720"/>
        <w:rPr>
          <w:color w:val="000000"/>
          <w:u w:color="000000"/>
        </w:rPr>
      </w:pPr>
      <w:r>
        <w:rPr>
          <w:noProof/>
          <w:color w:val="000000"/>
          <w:u w:color="000000"/>
        </w:rPr>
        <w:drawing>
          <wp:anchor distT="0" distB="0" distL="114300" distR="114300" simplePos="0" relativeHeight="251674624" behindDoc="1" locked="0" layoutInCell="1" allowOverlap="1" wp14:anchorId="7AE6FC60" wp14:editId="3D59E006">
            <wp:simplePos x="0" y="0"/>
            <wp:positionH relativeFrom="column">
              <wp:posOffset>81141</wp:posOffset>
            </wp:positionH>
            <wp:positionV relativeFrom="paragraph">
              <wp:posOffset>0</wp:posOffset>
            </wp:positionV>
            <wp:extent cx="5770245" cy="2903855"/>
            <wp:effectExtent l="0" t="0" r="0"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2-03 at 2.53.02 PM.png"/>
                    <pic:cNvPicPr/>
                  </pic:nvPicPr>
                  <pic:blipFill rotWithShape="1">
                    <a:blip r:embed="rId7" cstate="print">
                      <a:extLst>
                        <a:ext uri="{28A0092B-C50C-407E-A947-70E740481C1C}">
                          <a14:useLocalDpi xmlns:a14="http://schemas.microsoft.com/office/drawing/2010/main" val="0"/>
                        </a:ext>
                      </a:extLst>
                    </a:blip>
                    <a:srcRect l="1805" t="5191"/>
                    <a:stretch/>
                  </pic:blipFill>
                  <pic:spPr bwMode="auto">
                    <a:xfrm>
                      <a:off x="0" y="0"/>
                      <a:ext cx="5770245" cy="2903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0FFC4B" w14:textId="33AD2789" w:rsidR="00F30989" w:rsidRPr="00F4624C" w:rsidRDefault="00A2702C" w:rsidP="00A2702C">
      <w:pPr>
        <w:autoSpaceDE w:val="0"/>
        <w:autoSpaceDN w:val="0"/>
        <w:adjustRightInd w:val="0"/>
        <w:rPr>
          <w:b/>
          <w:bCs/>
          <w:color w:val="000000"/>
          <w:u w:color="000000"/>
        </w:rPr>
      </w:pPr>
      <w:r>
        <w:rPr>
          <w:color w:val="000000"/>
          <w:u w:color="000000"/>
        </w:rPr>
        <w:t>I</w:t>
      </w:r>
      <w:r w:rsidR="00261D3D">
        <w:rPr>
          <w:color w:val="000000"/>
          <w:u w:color="000000"/>
        </w:rPr>
        <w:t xml:space="preserve">n assessing the cell viability in the BCC cell line, </w:t>
      </w:r>
      <w:r w:rsidR="0030247B">
        <w:rPr>
          <w:color w:val="000000"/>
          <w:u w:color="000000"/>
        </w:rPr>
        <w:t xml:space="preserve">as the concentration of Cobimetinib increases, </w:t>
      </w:r>
      <w:r w:rsidR="00030F43">
        <w:rPr>
          <w:color w:val="000000"/>
          <w:u w:color="000000"/>
        </w:rPr>
        <w:t xml:space="preserve">the </w:t>
      </w:r>
      <w:r w:rsidR="00C63EDF">
        <w:rPr>
          <w:color w:val="000000"/>
          <w:u w:color="000000"/>
        </w:rPr>
        <w:t>cell death with Cobimetinib drug treatment</w:t>
      </w:r>
      <w:r w:rsidR="00030F43">
        <w:rPr>
          <w:color w:val="000000"/>
          <w:u w:color="000000"/>
        </w:rPr>
        <w:t xml:space="preserve"> is consistent </w:t>
      </w:r>
      <w:r w:rsidR="00156EFA">
        <w:rPr>
          <w:color w:val="000000"/>
          <w:u w:color="000000"/>
        </w:rPr>
        <w:t>over a period of 6 days</w:t>
      </w:r>
      <w:r w:rsidR="00030F43">
        <w:rPr>
          <w:color w:val="000000"/>
          <w:u w:color="000000"/>
        </w:rPr>
        <w:t xml:space="preserve"> with the exception of the highest concentration 100 </w:t>
      </w:r>
      <w:proofErr w:type="spellStart"/>
      <w:r w:rsidR="00030F43">
        <w:rPr>
          <w:color w:val="000000"/>
          <w:u w:color="000000"/>
        </w:rPr>
        <w:t>nM</w:t>
      </w:r>
      <w:proofErr w:type="spellEnd"/>
      <w:r w:rsidR="0030247B">
        <w:rPr>
          <w:color w:val="000000"/>
          <w:u w:color="000000"/>
        </w:rPr>
        <w:t xml:space="preserve"> (</w:t>
      </w:r>
      <w:r w:rsidR="0030247B" w:rsidRPr="0030247B">
        <w:rPr>
          <w:b/>
          <w:bCs/>
          <w:color w:val="000000"/>
          <w:u w:color="000000"/>
        </w:rPr>
        <w:t xml:space="preserve">Figure </w:t>
      </w:r>
      <w:r w:rsidR="008A75D9">
        <w:rPr>
          <w:b/>
          <w:bCs/>
          <w:color w:val="000000"/>
          <w:u w:color="000000"/>
        </w:rPr>
        <w:t>2</w:t>
      </w:r>
      <w:r w:rsidR="0030247B">
        <w:rPr>
          <w:color w:val="000000"/>
          <w:u w:color="000000"/>
        </w:rPr>
        <w:t xml:space="preserve">). </w:t>
      </w:r>
    </w:p>
    <w:p w14:paraId="7D239EA9" w14:textId="4811D9DC" w:rsidR="008A75D9" w:rsidRDefault="0030172C" w:rsidP="005F76BD">
      <w:pPr>
        <w:autoSpaceDE w:val="0"/>
        <w:autoSpaceDN w:val="0"/>
        <w:adjustRightInd w:val="0"/>
        <w:rPr>
          <w:color w:val="000000"/>
          <w:u w:color="000000"/>
        </w:rPr>
      </w:pPr>
      <w:r>
        <w:rPr>
          <w:noProof/>
          <w:color w:val="000000"/>
          <w:u w:color="000000"/>
        </w:rPr>
        <w:drawing>
          <wp:anchor distT="0" distB="0" distL="114300" distR="114300" simplePos="0" relativeHeight="251675648" behindDoc="0" locked="0" layoutInCell="1" allowOverlap="1" wp14:anchorId="5A089013" wp14:editId="21969237">
            <wp:simplePos x="0" y="0"/>
            <wp:positionH relativeFrom="column">
              <wp:posOffset>1194705</wp:posOffset>
            </wp:positionH>
            <wp:positionV relativeFrom="paragraph">
              <wp:posOffset>73717</wp:posOffset>
            </wp:positionV>
            <wp:extent cx="3847465" cy="2416810"/>
            <wp:effectExtent l="0" t="0" r="635" b="0"/>
            <wp:wrapThrough wrapText="bothSides">
              <wp:wrapPolygon edited="0">
                <wp:start x="0" y="0"/>
                <wp:lineTo x="0" y="21452"/>
                <wp:lineTo x="21532" y="21452"/>
                <wp:lineTo x="21532"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2-03 at 2.58.08 PM.png"/>
                    <pic:cNvPicPr/>
                  </pic:nvPicPr>
                  <pic:blipFill rotWithShape="1">
                    <a:blip r:embed="rId8" cstate="print">
                      <a:extLst>
                        <a:ext uri="{28A0092B-C50C-407E-A947-70E740481C1C}">
                          <a14:useLocalDpi xmlns:a14="http://schemas.microsoft.com/office/drawing/2010/main" val="0"/>
                        </a:ext>
                      </a:extLst>
                    </a:blip>
                    <a:srcRect l="8314"/>
                    <a:stretch/>
                  </pic:blipFill>
                  <pic:spPr bwMode="auto">
                    <a:xfrm>
                      <a:off x="0" y="0"/>
                      <a:ext cx="3847465" cy="2416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4F8494" w14:textId="33D95627" w:rsidR="00F4624C" w:rsidRDefault="00F4624C" w:rsidP="005F76BD">
      <w:pPr>
        <w:autoSpaceDE w:val="0"/>
        <w:autoSpaceDN w:val="0"/>
        <w:adjustRightInd w:val="0"/>
        <w:rPr>
          <w:color w:val="000000"/>
          <w:u w:color="000000"/>
        </w:rPr>
      </w:pPr>
    </w:p>
    <w:p w14:paraId="7EFF23EA" w14:textId="77777777" w:rsidR="0030172C" w:rsidRDefault="0030172C" w:rsidP="005F76BD">
      <w:pPr>
        <w:autoSpaceDE w:val="0"/>
        <w:autoSpaceDN w:val="0"/>
        <w:adjustRightInd w:val="0"/>
        <w:rPr>
          <w:b/>
          <w:bCs/>
          <w:color w:val="000000"/>
          <w:u w:color="000000"/>
        </w:rPr>
      </w:pPr>
    </w:p>
    <w:p w14:paraId="4C016AF8" w14:textId="77777777" w:rsidR="0030172C" w:rsidRDefault="0030172C" w:rsidP="005F76BD">
      <w:pPr>
        <w:autoSpaceDE w:val="0"/>
        <w:autoSpaceDN w:val="0"/>
        <w:adjustRightInd w:val="0"/>
        <w:rPr>
          <w:b/>
          <w:bCs/>
          <w:color w:val="000000"/>
          <w:u w:color="000000"/>
        </w:rPr>
      </w:pPr>
    </w:p>
    <w:p w14:paraId="39B2B666" w14:textId="77777777" w:rsidR="0030172C" w:rsidRDefault="0030172C" w:rsidP="005F76BD">
      <w:pPr>
        <w:autoSpaceDE w:val="0"/>
        <w:autoSpaceDN w:val="0"/>
        <w:adjustRightInd w:val="0"/>
        <w:rPr>
          <w:b/>
          <w:bCs/>
          <w:color w:val="000000"/>
          <w:u w:color="000000"/>
        </w:rPr>
      </w:pPr>
    </w:p>
    <w:p w14:paraId="2819EEC3" w14:textId="77777777" w:rsidR="0030172C" w:rsidRDefault="0030172C" w:rsidP="005F76BD">
      <w:pPr>
        <w:autoSpaceDE w:val="0"/>
        <w:autoSpaceDN w:val="0"/>
        <w:adjustRightInd w:val="0"/>
        <w:rPr>
          <w:b/>
          <w:bCs/>
          <w:color w:val="000000"/>
          <w:u w:color="000000"/>
        </w:rPr>
      </w:pPr>
    </w:p>
    <w:p w14:paraId="6A6F956B" w14:textId="77777777" w:rsidR="0030172C" w:rsidRDefault="0030172C" w:rsidP="005F76BD">
      <w:pPr>
        <w:autoSpaceDE w:val="0"/>
        <w:autoSpaceDN w:val="0"/>
        <w:adjustRightInd w:val="0"/>
        <w:rPr>
          <w:b/>
          <w:bCs/>
          <w:color w:val="000000"/>
          <w:u w:color="000000"/>
        </w:rPr>
      </w:pPr>
    </w:p>
    <w:p w14:paraId="5C42299D" w14:textId="77777777" w:rsidR="0030172C" w:rsidRDefault="0030172C" w:rsidP="005F76BD">
      <w:pPr>
        <w:autoSpaceDE w:val="0"/>
        <w:autoSpaceDN w:val="0"/>
        <w:adjustRightInd w:val="0"/>
        <w:rPr>
          <w:b/>
          <w:bCs/>
          <w:color w:val="000000"/>
          <w:u w:color="000000"/>
        </w:rPr>
      </w:pPr>
    </w:p>
    <w:p w14:paraId="40D60644" w14:textId="77777777" w:rsidR="0030172C" w:rsidRDefault="0030172C" w:rsidP="005F76BD">
      <w:pPr>
        <w:autoSpaceDE w:val="0"/>
        <w:autoSpaceDN w:val="0"/>
        <w:adjustRightInd w:val="0"/>
        <w:rPr>
          <w:b/>
          <w:bCs/>
          <w:color w:val="000000"/>
          <w:u w:color="000000"/>
        </w:rPr>
      </w:pPr>
    </w:p>
    <w:p w14:paraId="423B80C1" w14:textId="77777777" w:rsidR="0030172C" w:rsidRDefault="0030172C" w:rsidP="005F76BD">
      <w:pPr>
        <w:autoSpaceDE w:val="0"/>
        <w:autoSpaceDN w:val="0"/>
        <w:adjustRightInd w:val="0"/>
        <w:rPr>
          <w:b/>
          <w:bCs/>
          <w:color w:val="000000"/>
          <w:u w:color="000000"/>
        </w:rPr>
      </w:pPr>
    </w:p>
    <w:p w14:paraId="1BA26A01" w14:textId="77777777" w:rsidR="0030172C" w:rsidRDefault="0030172C" w:rsidP="005F76BD">
      <w:pPr>
        <w:autoSpaceDE w:val="0"/>
        <w:autoSpaceDN w:val="0"/>
        <w:adjustRightInd w:val="0"/>
        <w:rPr>
          <w:b/>
          <w:bCs/>
          <w:color w:val="000000"/>
          <w:u w:color="000000"/>
        </w:rPr>
      </w:pPr>
    </w:p>
    <w:p w14:paraId="095087B6" w14:textId="77777777" w:rsidR="0030172C" w:rsidRDefault="0030172C" w:rsidP="005F76BD">
      <w:pPr>
        <w:autoSpaceDE w:val="0"/>
        <w:autoSpaceDN w:val="0"/>
        <w:adjustRightInd w:val="0"/>
        <w:rPr>
          <w:b/>
          <w:bCs/>
          <w:color w:val="000000"/>
          <w:u w:color="000000"/>
        </w:rPr>
      </w:pPr>
    </w:p>
    <w:p w14:paraId="5CB47628" w14:textId="77777777" w:rsidR="0030172C" w:rsidRDefault="0030172C" w:rsidP="005F76BD">
      <w:pPr>
        <w:autoSpaceDE w:val="0"/>
        <w:autoSpaceDN w:val="0"/>
        <w:adjustRightInd w:val="0"/>
        <w:rPr>
          <w:b/>
          <w:bCs/>
          <w:color w:val="000000"/>
          <w:u w:color="000000"/>
        </w:rPr>
      </w:pPr>
    </w:p>
    <w:p w14:paraId="6FC8B2A2" w14:textId="77777777" w:rsidR="0030172C" w:rsidRDefault="0030172C" w:rsidP="005F76BD">
      <w:pPr>
        <w:autoSpaceDE w:val="0"/>
        <w:autoSpaceDN w:val="0"/>
        <w:adjustRightInd w:val="0"/>
        <w:rPr>
          <w:b/>
          <w:bCs/>
          <w:color w:val="000000"/>
          <w:u w:color="000000"/>
        </w:rPr>
      </w:pPr>
    </w:p>
    <w:p w14:paraId="3C558C87" w14:textId="77777777" w:rsidR="0030172C" w:rsidRDefault="0030172C" w:rsidP="005F76BD">
      <w:pPr>
        <w:autoSpaceDE w:val="0"/>
        <w:autoSpaceDN w:val="0"/>
        <w:adjustRightInd w:val="0"/>
        <w:rPr>
          <w:b/>
          <w:bCs/>
          <w:color w:val="000000"/>
          <w:u w:color="000000"/>
        </w:rPr>
      </w:pPr>
    </w:p>
    <w:p w14:paraId="260AA3DC" w14:textId="4F764AE9" w:rsidR="0030172C" w:rsidRDefault="00373DA4" w:rsidP="00A177B5">
      <w:pPr>
        <w:autoSpaceDE w:val="0"/>
        <w:autoSpaceDN w:val="0"/>
        <w:adjustRightInd w:val="0"/>
        <w:rPr>
          <w:b/>
          <w:bCs/>
          <w:color w:val="000000"/>
          <w:u w:color="000000"/>
        </w:rPr>
      </w:pPr>
      <w:r>
        <w:rPr>
          <w:b/>
          <w:bCs/>
          <w:color w:val="000000"/>
          <w:u w:color="000000"/>
        </w:rPr>
        <w:t>Hedgehog Signaling</w:t>
      </w:r>
      <w:r w:rsidR="00655776">
        <w:rPr>
          <w:b/>
          <w:bCs/>
          <w:color w:val="000000"/>
          <w:u w:color="000000"/>
        </w:rPr>
        <w:t xml:space="preserve"> </w:t>
      </w:r>
      <w:r w:rsidR="0030172C">
        <w:rPr>
          <w:b/>
          <w:bCs/>
          <w:color w:val="000000"/>
          <w:u w:color="000000"/>
        </w:rPr>
        <w:t>activity</w:t>
      </w:r>
      <w:r w:rsidR="007C25F5">
        <w:rPr>
          <w:b/>
          <w:bCs/>
          <w:color w:val="000000"/>
          <w:u w:color="000000"/>
        </w:rPr>
        <w:t xml:space="preserve"> is not impacted by PDHK Inhibition with Dichloroacetic Acid</w:t>
      </w:r>
    </w:p>
    <w:p w14:paraId="7DBAA381" w14:textId="14547375" w:rsidR="007C25F5" w:rsidRDefault="00A177B5" w:rsidP="0030172C">
      <w:pPr>
        <w:autoSpaceDE w:val="0"/>
        <w:autoSpaceDN w:val="0"/>
        <w:adjustRightInd w:val="0"/>
        <w:ind w:firstLine="720"/>
        <w:rPr>
          <w:color w:val="000000"/>
          <w:u w:color="000000"/>
        </w:rPr>
      </w:pPr>
      <w:r>
        <w:rPr>
          <w:color w:val="000000"/>
          <w:u w:color="000000"/>
        </w:rPr>
        <w:t xml:space="preserve">Increased activity of PDHK in cancer cells suggests that inhibition with Dichloroacetic acid could reduce Hedgehog Signaling. Hedgehog </w:t>
      </w:r>
      <w:r w:rsidR="00A2702C">
        <w:rPr>
          <w:color w:val="000000"/>
          <w:u w:color="000000"/>
        </w:rPr>
        <w:t>S</w:t>
      </w:r>
      <w:r>
        <w:rPr>
          <w:color w:val="000000"/>
          <w:u w:color="000000"/>
        </w:rPr>
        <w:t xml:space="preserve">ignaling activity measured through GLI1 expression is not affected in the presence of Dichloroacetic acid at the concentrations tested </w:t>
      </w:r>
      <w:r>
        <w:rPr>
          <w:color w:val="000000"/>
          <w:u w:color="000000"/>
        </w:rPr>
        <w:lastRenderedPageBreak/>
        <w:t>(</w:t>
      </w:r>
      <w:r w:rsidRPr="00A177B5">
        <w:rPr>
          <w:b/>
          <w:bCs/>
          <w:color w:val="000000"/>
          <w:u w:color="000000"/>
        </w:rPr>
        <w:t>Figure 3</w:t>
      </w:r>
      <w:r>
        <w:rPr>
          <w:color w:val="000000"/>
          <w:u w:color="000000"/>
        </w:rPr>
        <w:t xml:space="preserve">). </w:t>
      </w:r>
      <w:r w:rsidR="004A1190">
        <w:rPr>
          <w:color w:val="000000"/>
          <w:u w:color="000000"/>
        </w:rPr>
        <w:t xml:space="preserve">Overall, </w:t>
      </w:r>
      <w:r w:rsidR="00A2702C">
        <w:rPr>
          <w:color w:val="000000"/>
          <w:u w:color="000000"/>
        </w:rPr>
        <w:t xml:space="preserve">the </w:t>
      </w:r>
      <w:r w:rsidR="004A1190">
        <w:rPr>
          <w:color w:val="000000"/>
          <w:u w:color="000000"/>
        </w:rPr>
        <w:t xml:space="preserve">fold change of GLI in the HH SS Wild Type cells is higher than in the SS Wild Type cells as expected. Between concentrations of Dichloroacetic Acid, GLI expression levels are within the standard deviation in the SS condition. In the case of the HH SS treated Wild Type cells, GLI expression is only lower at the IC50 of 80 </w:t>
      </w:r>
      <w:proofErr w:type="spellStart"/>
      <w:r w:rsidR="004A1190">
        <w:rPr>
          <w:color w:val="000000"/>
          <w:u w:color="000000"/>
        </w:rPr>
        <w:t>nM</w:t>
      </w:r>
      <w:proofErr w:type="spellEnd"/>
      <w:r w:rsidR="004A1190">
        <w:rPr>
          <w:color w:val="000000"/>
          <w:u w:color="000000"/>
        </w:rPr>
        <w:t xml:space="preserve"> Dichloroacetic Acid</w:t>
      </w:r>
      <w:r w:rsidR="0030172C">
        <w:rPr>
          <w:color w:val="000000"/>
          <w:u w:color="000000"/>
        </w:rPr>
        <w:t xml:space="preserve"> (</w:t>
      </w:r>
      <w:r w:rsidR="0030172C" w:rsidRPr="0030172C">
        <w:rPr>
          <w:b/>
          <w:bCs/>
          <w:color w:val="000000"/>
          <w:u w:color="000000"/>
        </w:rPr>
        <w:t>Figure 3</w:t>
      </w:r>
      <w:r w:rsidR="0030172C">
        <w:rPr>
          <w:b/>
          <w:bCs/>
          <w:color w:val="000000"/>
          <w:u w:color="000000"/>
        </w:rPr>
        <w:t>A</w:t>
      </w:r>
      <w:r w:rsidR="0030172C">
        <w:rPr>
          <w:color w:val="000000"/>
          <w:u w:color="000000"/>
        </w:rPr>
        <w:t>)</w:t>
      </w:r>
      <w:r w:rsidR="004A1190">
        <w:rPr>
          <w:color w:val="000000"/>
          <w:u w:color="000000"/>
        </w:rPr>
        <w:t xml:space="preserve">. </w:t>
      </w:r>
      <w:r w:rsidR="00AD04F3">
        <w:rPr>
          <w:color w:val="000000"/>
          <w:u w:color="000000"/>
        </w:rPr>
        <w:t>In BCC cells</w:t>
      </w:r>
      <w:r w:rsidR="004A1190">
        <w:rPr>
          <w:color w:val="000000"/>
          <w:u w:color="000000"/>
        </w:rPr>
        <w:t xml:space="preserve"> treated with Serum Starved (SS) Media</w:t>
      </w:r>
      <w:r w:rsidR="00AD04F3">
        <w:rPr>
          <w:color w:val="000000"/>
          <w:u w:color="000000"/>
        </w:rPr>
        <w:t>, GLI1 expression is within the standard error bars for all concentrations of inhibitor</w:t>
      </w:r>
      <w:r w:rsidR="0030172C">
        <w:rPr>
          <w:color w:val="000000"/>
          <w:u w:color="000000"/>
        </w:rPr>
        <w:t xml:space="preserve"> (</w:t>
      </w:r>
      <w:r w:rsidR="0030172C" w:rsidRPr="0030172C">
        <w:rPr>
          <w:b/>
          <w:bCs/>
          <w:color w:val="000000"/>
          <w:u w:color="000000"/>
        </w:rPr>
        <w:t>Figure 3</w:t>
      </w:r>
      <w:r w:rsidR="0030172C">
        <w:rPr>
          <w:b/>
          <w:bCs/>
          <w:color w:val="000000"/>
          <w:u w:color="000000"/>
        </w:rPr>
        <w:t>B</w:t>
      </w:r>
      <w:r w:rsidR="0030172C">
        <w:rPr>
          <w:color w:val="000000"/>
          <w:u w:color="000000"/>
        </w:rPr>
        <w:t>)</w:t>
      </w:r>
      <w:r w:rsidR="00AD04F3">
        <w:rPr>
          <w:color w:val="000000"/>
          <w:u w:color="000000"/>
        </w:rPr>
        <w:t xml:space="preserve">. </w:t>
      </w:r>
    </w:p>
    <w:p w14:paraId="5E423CE5" w14:textId="5506994D" w:rsidR="007C25F5" w:rsidRDefault="007C25F5" w:rsidP="007C25F5">
      <w:pPr>
        <w:autoSpaceDE w:val="0"/>
        <w:autoSpaceDN w:val="0"/>
        <w:adjustRightInd w:val="0"/>
        <w:ind w:firstLine="720"/>
        <w:jc w:val="center"/>
        <w:rPr>
          <w:color w:val="000000"/>
          <w:u w:color="000000"/>
        </w:rPr>
      </w:pPr>
      <w:r>
        <w:rPr>
          <w:noProof/>
          <w:color w:val="000000"/>
          <w:u w:color="000000"/>
        </w:rPr>
        <w:drawing>
          <wp:anchor distT="0" distB="0" distL="114300" distR="114300" simplePos="0" relativeHeight="251676672" behindDoc="0" locked="0" layoutInCell="1" allowOverlap="1" wp14:anchorId="7933F36A" wp14:editId="24287E8F">
            <wp:simplePos x="0" y="0"/>
            <wp:positionH relativeFrom="column">
              <wp:posOffset>-45349</wp:posOffset>
            </wp:positionH>
            <wp:positionV relativeFrom="paragraph">
              <wp:posOffset>0</wp:posOffset>
            </wp:positionV>
            <wp:extent cx="5943600" cy="3237865"/>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2-03 at 3.02.17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237865"/>
                    </a:xfrm>
                    <a:prstGeom prst="rect">
                      <a:avLst/>
                    </a:prstGeom>
                  </pic:spPr>
                </pic:pic>
              </a:graphicData>
            </a:graphic>
            <wp14:sizeRelH relativeFrom="page">
              <wp14:pctWidth>0</wp14:pctWidth>
            </wp14:sizeRelH>
            <wp14:sizeRelV relativeFrom="page">
              <wp14:pctHeight>0</wp14:pctHeight>
            </wp14:sizeRelV>
          </wp:anchor>
        </w:drawing>
      </w:r>
    </w:p>
    <w:p w14:paraId="1FD92D5A" w14:textId="37F3921F" w:rsidR="007C25F5" w:rsidRDefault="00AD04F3" w:rsidP="00A2702C">
      <w:pPr>
        <w:autoSpaceDE w:val="0"/>
        <w:autoSpaceDN w:val="0"/>
        <w:adjustRightInd w:val="0"/>
        <w:rPr>
          <w:color w:val="000000"/>
          <w:u w:color="000000"/>
        </w:rPr>
      </w:pPr>
      <w:r>
        <w:rPr>
          <w:color w:val="000000"/>
          <w:u w:color="000000"/>
        </w:rPr>
        <w:t xml:space="preserve">To assess </w:t>
      </w:r>
      <w:r w:rsidR="00196B1D" w:rsidRPr="00196B1D">
        <w:rPr>
          <w:i/>
          <w:iCs/>
          <w:color w:val="000000"/>
          <w:u w:color="000000"/>
        </w:rPr>
        <w:t>in vivo</w:t>
      </w:r>
      <w:r w:rsidR="00196B1D">
        <w:rPr>
          <w:color w:val="000000"/>
          <w:u w:color="000000"/>
        </w:rPr>
        <w:t xml:space="preserve"> toxicity </w:t>
      </w:r>
      <w:r>
        <w:rPr>
          <w:color w:val="000000"/>
          <w:u w:color="000000"/>
        </w:rPr>
        <w:t>of the drug, an MTT assay was conducted where</w:t>
      </w:r>
      <w:r w:rsidR="00373DA4">
        <w:rPr>
          <w:color w:val="000000"/>
          <w:u w:color="000000"/>
        </w:rPr>
        <w:t xml:space="preserve"> </w:t>
      </w:r>
      <w:r w:rsidR="004A1190">
        <w:rPr>
          <w:color w:val="000000"/>
          <w:u w:color="000000"/>
        </w:rPr>
        <w:t xml:space="preserve">absorbance </w:t>
      </w:r>
      <w:r w:rsidR="00373DA4">
        <w:rPr>
          <w:color w:val="000000"/>
          <w:u w:color="000000"/>
        </w:rPr>
        <w:t xml:space="preserve">is consistent </w:t>
      </w:r>
      <w:r w:rsidR="00196B1D">
        <w:rPr>
          <w:color w:val="000000"/>
          <w:u w:color="000000"/>
        </w:rPr>
        <w:t xml:space="preserve">for all concentrations of </w:t>
      </w:r>
      <w:r w:rsidR="00C63EDF">
        <w:rPr>
          <w:color w:val="000000"/>
          <w:u w:color="000000"/>
        </w:rPr>
        <w:t xml:space="preserve">PDHK </w:t>
      </w:r>
      <w:r w:rsidR="00196B1D">
        <w:rPr>
          <w:color w:val="000000"/>
          <w:u w:color="000000"/>
        </w:rPr>
        <w:t xml:space="preserve">inhibitor </w:t>
      </w:r>
      <w:r w:rsidR="00373DA4">
        <w:rPr>
          <w:color w:val="000000"/>
          <w:u w:color="000000"/>
        </w:rPr>
        <w:t>over a period of 6 days</w:t>
      </w:r>
      <w:r w:rsidR="00850FAC">
        <w:rPr>
          <w:color w:val="000000"/>
          <w:u w:color="000000"/>
        </w:rPr>
        <w:t>.</w:t>
      </w:r>
      <w:r w:rsidR="00373DA4">
        <w:rPr>
          <w:color w:val="000000"/>
          <w:u w:color="000000"/>
        </w:rPr>
        <w:t xml:space="preserve"> (</w:t>
      </w:r>
      <w:r w:rsidR="00373DA4" w:rsidRPr="00373DA4">
        <w:rPr>
          <w:b/>
          <w:bCs/>
          <w:color w:val="000000"/>
          <w:u w:color="000000"/>
        </w:rPr>
        <w:t>Figure 4</w:t>
      </w:r>
      <w:r w:rsidR="00373DA4">
        <w:rPr>
          <w:color w:val="000000"/>
          <w:u w:color="000000"/>
        </w:rPr>
        <w:t xml:space="preserve">). </w:t>
      </w:r>
    </w:p>
    <w:p w14:paraId="449ECA30" w14:textId="1DB72289" w:rsidR="007C25F5" w:rsidRPr="0030172C" w:rsidRDefault="007C25F5" w:rsidP="007C25F5">
      <w:pPr>
        <w:autoSpaceDE w:val="0"/>
        <w:autoSpaceDN w:val="0"/>
        <w:adjustRightInd w:val="0"/>
        <w:jc w:val="center"/>
        <w:rPr>
          <w:b/>
          <w:bCs/>
          <w:color w:val="000000"/>
          <w:u w:color="000000"/>
        </w:rPr>
      </w:pPr>
      <w:r>
        <w:rPr>
          <w:noProof/>
        </w:rPr>
        <w:drawing>
          <wp:anchor distT="0" distB="0" distL="114300" distR="114300" simplePos="0" relativeHeight="251677696" behindDoc="0" locked="0" layoutInCell="1" allowOverlap="1" wp14:anchorId="42707629" wp14:editId="48EF8A3E">
            <wp:simplePos x="0" y="0"/>
            <wp:positionH relativeFrom="column">
              <wp:posOffset>1040821</wp:posOffset>
            </wp:positionH>
            <wp:positionV relativeFrom="paragraph">
              <wp:posOffset>54321</wp:posOffset>
            </wp:positionV>
            <wp:extent cx="4073295" cy="2108319"/>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6978" t="15280" r="8151"/>
                    <a:stretch/>
                  </pic:blipFill>
                  <pic:spPr bwMode="auto">
                    <a:xfrm>
                      <a:off x="0" y="0"/>
                      <a:ext cx="4073295" cy="21083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B7D555" w14:textId="77777777" w:rsidR="007C25F5" w:rsidRDefault="007C25F5" w:rsidP="005F76BD">
      <w:pPr>
        <w:autoSpaceDE w:val="0"/>
        <w:autoSpaceDN w:val="0"/>
        <w:adjustRightInd w:val="0"/>
        <w:rPr>
          <w:b/>
          <w:bCs/>
          <w:color w:val="000000"/>
          <w:u w:color="000000"/>
        </w:rPr>
      </w:pPr>
    </w:p>
    <w:p w14:paraId="44F88C60" w14:textId="77777777" w:rsidR="007C25F5" w:rsidRDefault="007C25F5" w:rsidP="005F76BD">
      <w:pPr>
        <w:autoSpaceDE w:val="0"/>
        <w:autoSpaceDN w:val="0"/>
        <w:adjustRightInd w:val="0"/>
        <w:rPr>
          <w:b/>
          <w:bCs/>
          <w:color w:val="000000"/>
          <w:u w:color="000000"/>
        </w:rPr>
      </w:pPr>
    </w:p>
    <w:p w14:paraId="19FB3035" w14:textId="77777777" w:rsidR="007C25F5" w:rsidRDefault="007C25F5" w:rsidP="005F76BD">
      <w:pPr>
        <w:autoSpaceDE w:val="0"/>
        <w:autoSpaceDN w:val="0"/>
        <w:adjustRightInd w:val="0"/>
        <w:rPr>
          <w:b/>
          <w:bCs/>
          <w:color w:val="000000"/>
          <w:u w:color="000000"/>
        </w:rPr>
      </w:pPr>
    </w:p>
    <w:p w14:paraId="2AEE1881" w14:textId="77777777" w:rsidR="007C25F5" w:rsidRDefault="007C25F5" w:rsidP="005F76BD">
      <w:pPr>
        <w:autoSpaceDE w:val="0"/>
        <w:autoSpaceDN w:val="0"/>
        <w:adjustRightInd w:val="0"/>
        <w:rPr>
          <w:b/>
          <w:bCs/>
          <w:color w:val="000000"/>
          <w:u w:color="000000"/>
        </w:rPr>
      </w:pPr>
    </w:p>
    <w:p w14:paraId="1DF1401F" w14:textId="77777777" w:rsidR="007C25F5" w:rsidRDefault="007C25F5" w:rsidP="005F76BD">
      <w:pPr>
        <w:autoSpaceDE w:val="0"/>
        <w:autoSpaceDN w:val="0"/>
        <w:adjustRightInd w:val="0"/>
        <w:rPr>
          <w:b/>
          <w:bCs/>
          <w:color w:val="000000"/>
          <w:u w:color="000000"/>
        </w:rPr>
      </w:pPr>
    </w:p>
    <w:p w14:paraId="64A9BFE1" w14:textId="77777777" w:rsidR="007C25F5" w:rsidRDefault="007C25F5" w:rsidP="005F76BD">
      <w:pPr>
        <w:autoSpaceDE w:val="0"/>
        <w:autoSpaceDN w:val="0"/>
        <w:adjustRightInd w:val="0"/>
        <w:rPr>
          <w:b/>
          <w:bCs/>
          <w:color w:val="000000"/>
          <w:u w:color="000000"/>
        </w:rPr>
      </w:pPr>
    </w:p>
    <w:p w14:paraId="42E8CBE6" w14:textId="77777777" w:rsidR="007C25F5" w:rsidRDefault="007C25F5" w:rsidP="005F76BD">
      <w:pPr>
        <w:autoSpaceDE w:val="0"/>
        <w:autoSpaceDN w:val="0"/>
        <w:adjustRightInd w:val="0"/>
        <w:rPr>
          <w:b/>
          <w:bCs/>
          <w:color w:val="000000"/>
          <w:u w:color="000000"/>
        </w:rPr>
      </w:pPr>
    </w:p>
    <w:p w14:paraId="5F7CA765" w14:textId="77777777" w:rsidR="007C25F5" w:rsidRDefault="007C25F5" w:rsidP="005F76BD">
      <w:pPr>
        <w:autoSpaceDE w:val="0"/>
        <w:autoSpaceDN w:val="0"/>
        <w:adjustRightInd w:val="0"/>
        <w:rPr>
          <w:b/>
          <w:bCs/>
          <w:color w:val="000000"/>
          <w:u w:color="000000"/>
        </w:rPr>
      </w:pPr>
    </w:p>
    <w:p w14:paraId="347662BC" w14:textId="77777777" w:rsidR="007C25F5" w:rsidRDefault="007C25F5" w:rsidP="005F76BD">
      <w:pPr>
        <w:autoSpaceDE w:val="0"/>
        <w:autoSpaceDN w:val="0"/>
        <w:adjustRightInd w:val="0"/>
        <w:rPr>
          <w:b/>
          <w:bCs/>
          <w:color w:val="000000"/>
          <w:u w:color="000000"/>
        </w:rPr>
      </w:pPr>
    </w:p>
    <w:p w14:paraId="445579F5" w14:textId="77777777" w:rsidR="007C25F5" w:rsidRDefault="007C25F5" w:rsidP="005F76BD">
      <w:pPr>
        <w:autoSpaceDE w:val="0"/>
        <w:autoSpaceDN w:val="0"/>
        <w:adjustRightInd w:val="0"/>
        <w:rPr>
          <w:b/>
          <w:bCs/>
          <w:color w:val="000000"/>
          <w:u w:color="000000"/>
        </w:rPr>
      </w:pPr>
    </w:p>
    <w:p w14:paraId="5FA38547" w14:textId="77777777" w:rsidR="007C25F5" w:rsidRDefault="007C25F5" w:rsidP="005F76BD">
      <w:pPr>
        <w:autoSpaceDE w:val="0"/>
        <w:autoSpaceDN w:val="0"/>
        <w:adjustRightInd w:val="0"/>
        <w:rPr>
          <w:b/>
          <w:bCs/>
          <w:color w:val="000000"/>
          <w:u w:color="000000"/>
        </w:rPr>
      </w:pPr>
    </w:p>
    <w:p w14:paraId="7D429254" w14:textId="77777777" w:rsidR="007C25F5" w:rsidRDefault="007C25F5" w:rsidP="005F76BD">
      <w:pPr>
        <w:autoSpaceDE w:val="0"/>
        <w:autoSpaceDN w:val="0"/>
        <w:adjustRightInd w:val="0"/>
        <w:rPr>
          <w:b/>
          <w:bCs/>
          <w:color w:val="000000"/>
          <w:u w:color="000000"/>
        </w:rPr>
      </w:pPr>
    </w:p>
    <w:p w14:paraId="5CCCE926" w14:textId="0CCA5158" w:rsidR="00655776" w:rsidRDefault="00655776" w:rsidP="005F76BD">
      <w:pPr>
        <w:autoSpaceDE w:val="0"/>
        <w:autoSpaceDN w:val="0"/>
        <w:adjustRightInd w:val="0"/>
        <w:rPr>
          <w:b/>
          <w:bCs/>
          <w:color w:val="000000"/>
          <w:u w:color="000000"/>
        </w:rPr>
      </w:pPr>
      <w:r w:rsidRPr="00C63EDF">
        <w:rPr>
          <w:b/>
          <w:bCs/>
          <w:color w:val="000000"/>
          <w:u w:color="000000"/>
        </w:rPr>
        <w:t>NEK</w:t>
      </w:r>
      <w:r w:rsidR="00196B1D" w:rsidRPr="00C63EDF">
        <w:rPr>
          <w:b/>
          <w:bCs/>
          <w:color w:val="000000"/>
          <w:u w:color="000000"/>
        </w:rPr>
        <w:t xml:space="preserve">1 </w:t>
      </w:r>
      <w:r w:rsidR="00C63EDF" w:rsidRPr="00C63EDF">
        <w:rPr>
          <w:b/>
          <w:bCs/>
          <w:color w:val="000000"/>
          <w:u w:color="000000"/>
        </w:rPr>
        <w:t xml:space="preserve">Inhibition </w:t>
      </w:r>
      <w:r w:rsidR="007C25F5" w:rsidRPr="00C63EDF">
        <w:rPr>
          <w:b/>
          <w:bCs/>
          <w:color w:val="000000"/>
          <w:u w:color="000000"/>
        </w:rPr>
        <w:t>Demonstrates Activation of Hedgehog Signaling</w:t>
      </w:r>
      <w:r w:rsidR="007C25F5">
        <w:rPr>
          <w:b/>
          <w:bCs/>
          <w:color w:val="000000"/>
          <w:u w:color="000000"/>
        </w:rPr>
        <w:t xml:space="preserve"> </w:t>
      </w:r>
    </w:p>
    <w:p w14:paraId="1174955C" w14:textId="0AEC5819" w:rsidR="00373DA4" w:rsidRDefault="00373DA4" w:rsidP="007C25F5">
      <w:pPr>
        <w:autoSpaceDE w:val="0"/>
        <w:autoSpaceDN w:val="0"/>
        <w:adjustRightInd w:val="0"/>
        <w:ind w:firstLine="720"/>
        <w:rPr>
          <w:color w:val="000000"/>
          <w:u w:color="000000"/>
        </w:rPr>
      </w:pPr>
      <w:r>
        <w:rPr>
          <w:color w:val="000000"/>
          <w:u w:color="000000"/>
        </w:rPr>
        <w:t xml:space="preserve">The effect of NEK1 on </w:t>
      </w:r>
      <w:r w:rsidR="00850FAC">
        <w:rPr>
          <w:color w:val="000000"/>
          <w:u w:color="000000"/>
        </w:rPr>
        <w:t xml:space="preserve">the </w:t>
      </w:r>
      <w:r w:rsidR="007C25F5">
        <w:rPr>
          <w:color w:val="000000"/>
          <w:u w:color="000000"/>
        </w:rPr>
        <w:t>regulation</w:t>
      </w:r>
      <w:r>
        <w:rPr>
          <w:color w:val="000000"/>
          <w:u w:color="000000"/>
        </w:rPr>
        <w:t xml:space="preserve"> </w:t>
      </w:r>
      <w:r w:rsidR="00850FAC">
        <w:rPr>
          <w:color w:val="000000"/>
          <w:u w:color="000000"/>
        </w:rPr>
        <w:t xml:space="preserve">of cilia development </w:t>
      </w:r>
      <w:r>
        <w:rPr>
          <w:color w:val="000000"/>
          <w:u w:color="000000"/>
        </w:rPr>
        <w:t>and its correlation in cancer</w:t>
      </w:r>
      <w:r w:rsidR="007C25F5">
        <w:rPr>
          <w:color w:val="000000"/>
          <w:u w:color="000000"/>
        </w:rPr>
        <w:t xml:space="preserve"> suggest</w:t>
      </w:r>
      <w:r w:rsidR="006516BF">
        <w:rPr>
          <w:color w:val="000000"/>
          <w:u w:color="000000"/>
        </w:rPr>
        <w:t>s</w:t>
      </w:r>
      <w:r w:rsidR="007C25F5">
        <w:rPr>
          <w:color w:val="000000"/>
          <w:u w:color="000000"/>
        </w:rPr>
        <w:t xml:space="preserve"> inhibition </w:t>
      </w:r>
      <w:r w:rsidR="0072228A">
        <w:rPr>
          <w:color w:val="000000"/>
          <w:u w:color="000000"/>
        </w:rPr>
        <w:t xml:space="preserve">of NEK1 with </w:t>
      </w:r>
      <w:r w:rsidR="00E56748">
        <w:rPr>
          <w:color w:val="000000"/>
          <w:u w:color="000000"/>
        </w:rPr>
        <w:t>Zinc05007751</w:t>
      </w:r>
      <w:r w:rsidR="006516BF">
        <w:rPr>
          <w:color w:val="000000"/>
          <w:u w:color="000000"/>
        </w:rPr>
        <w:t xml:space="preserve"> </w:t>
      </w:r>
      <w:r w:rsidR="007C25F5">
        <w:rPr>
          <w:color w:val="000000"/>
          <w:u w:color="000000"/>
        </w:rPr>
        <w:t>affect</w:t>
      </w:r>
      <w:r w:rsidR="006516BF">
        <w:rPr>
          <w:color w:val="000000"/>
          <w:u w:color="000000"/>
        </w:rPr>
        <w:t>s</w:t>
      </w:r>
      <w:r w:rsidR="007C25F5">
        <w:rPr>
          <w:color w:val="000000"/>
          <w:u w:color="000000"/>
        </w:rPr>
        <w:t xml:space="preserve"> </w:t>
      </w:r>
      <w:r w:rsidR="00E56748">
        <w:rPr>
          <w:color w:val="000000"/>
          <w:u w:color="000000"/>
        </w:rPr>
        <w:t>activation of Hedgehog Signalin</w:t>
      </w:r>
      <w:r w:rsidR="007C25F5">
        <w:rPr>
          <w:color w:val="000000"/>
          <w:u w:color="000000"/>
        </w:rPr>
        <w:t xml:space="preserve">g. </w:t>
      </w:r>
      <w:r w:rsidR="00C63EDF">
        <w:rPr>
          <w:color w:val="000000"/>
          <w:u w:color="000000"/>
        </w:rPr>
        <w:t>The fold change of GLI in diluent only Wild Type samples increased in the HH SS media condition versus the SS media as expected</w:t>
      </w:r>
      <w:r w:rsidR="005655FE">
        <w:rPr>
          <w:color w:val="000000"/>
          <w:u w:color="000000"/>
        </w:rPr>
        <w:t xml:space="preserve"> (</w:t>
      </w:r>
      <w:r w:rsidR="005655FE" w:rsidRPr="005655FE">
        <w:rPr>
          <w:b/>
          <w:bCs/>
          <w:color w:val="000000"/>
          <w:u w:color="000000"/>
        </w:rPr>
        <w:t>Figure 5</w:t>
      </w:r>
      <w:r w:rsidR="005655FE">
        <w:rPr>
          <w:color w:val="000000"/>
          <w:u w:color="000000"/>
        </w:rPr>
        <w:t>)</w:t>
      </w:r>
      <w:r w:rsidR="00C63EDF">
        <w:rPr>
          <w:color w:val="000000"/>
          <w:u w:color="000000"/>
        </w:rPr>
        <w:t>. However, in the HH SS samples, GLI expression decreased beyond the error bars</w:t>
      </w:r>
      <w:r w:rsidR="005655FE">
        <w:rPr>
          <w:color w:val="000000"/>
          <w:u w:color="000000"/>
        </w:rPr>
        <w:t xml:space="preserve"> </w:t>
      </w:r>
      <w:r w:rsidR="00C63EDF">
        <w:rPr>
          <w:color w:val="000000"/>
          <w:u w:color="000000"/>
        </w:rPr>
        <w:t xml:space="preserve">with drug treatment </w:t>
      </w:r>
      <w:r w:rsidR="005655FE">
        <w:rPr>
          <w:color w:val="000000"/>
          <w:u w:color="000000"/>
        </w:rPr>
        <w:t xml:space="preserve">as low as at the </w:t>
      </w:r>
      <w:r w:rsidR="00C63EDF">
        <w:rPr>
          <w:color w:val="000000"/>
          <w:u w:color="000000"/>
        </w:rPr>
        <w:t xml:space="preserve">IC50 of 3.4 </w:t>
      </w:r>
      <w:r w:rsidR="00C63EDF">
        <w:rPr>
          <w:color w:val="000000"/>
        </w:rPr>
        <w:sym w:font="Symbol" w:char="F06D"/>
      </w:r>
      <w:r w:rsidR="00C63EDF">
        <w:rPr>
          <w:color w:val="000000"/>
        </w:rPr>
        <w:t>M</w:t>
      </w:r>
      <w:r w:rsidR="005655FE">
        <w:rPr>
          <w:color w:val="000000"/>
        </w:rPr>
        <w:t xml:space="preserve"> (</w:t>
      </w:r>
      <w:r w:rsidR="005655FE" w:rsidRPr="005655FE">
        <w:rPr>
          <w:b/>
          <w:bCs/>
          <w:color w:val="000000"/>
        </w:rPr>
        <w:t xml:space="preserve">Figure </w:t>
      </w:r>
      <w:r w:rsidR="005655FE" w:rsidRPr="005655FE">
        <w:rPr>
          <w:b/>
          <w:bCs/>
          <w:color w:val="000000"/>
        </w:rPr>
        <w:lastRenderedPageBreak/>
        <w:t>5A</w:t>
      </w:r>
      <w:r w:rsidR="005655FE">
        <w:rPr>
          <w:color w:val="000000"/>
        </w:rPr>
        <w:t>)</w:t>
      </w:r>
      <w:r w:rsidR="00C63EDF">
        <w:rPr>
          <w:color w:val="000000"/>
        </w:rPr>
        <w:t xml:space="preserve">. </w:t>
      </w:r>
      <w:r w:rsidR="005655FE">
        <w:rPr>
          <w:color w:val="000000"/>
          <w:u w:color="000000"/>
        </w:rPr>
        <w:t>Additionally, there is a decrease in fold change with drug treatment in the BCC cell line (</w:t>
      </w:r>
      <w:r w:rsidR="005655FE" w:rsidRPr="005655FE">
        <w:rPr>
          <w:b/>
          <w:bCs/>
          <w:color w:val="000000"/>
          <w:u w:color="000000"/>
        </w:rPr>
        <w:t>Figure 5B</w:t>
      </w:r>
      <w:r w:rsidR="005655FE">
        <w:rPr>
          <w:color w:val="000000"/>
          <w:u w:color="000000"/>
        </w:rPr>
        <w:t xml:space="preserve">). The addition of this drug does not influence cell death in an </w:t>
      </w:r>
      <w:r w:rsidR="005655FE" w:rsidRPr="005655FE">
        <w:rPr>
          <w:i/>
          <w:iCs/>
          <w:color w:val="000000"/>
          <w:u w:color="000000"/>
        </w:rPr>
        <w:t>in vivo</w:t>
      </w:r>
      <w:r w:rsidR="005655FE">
        <w:rPr>
          <w:color w:val="000000"/>
          <w:u w:color="000000"/>
        </w:rPr>
        <w:t xml:space="preserve"> setting which confirms that the decrease in GLI expression with drug </w:t>
      </w:r>
      <w:proofErr w:type="spellStart"/>
      <w:r w:rsidR="005655FE">
        <w:rPr>
          <w:color w:val="000000"/>
          <w:u w:color="000000"/>
        </w:rPr>
        <w:t>addition</w:t>
      </w:r>
      <w:proofErr w:type="spellEnd"/>
      <w:r w:rsidR="005655FE">
        <w:rPr>
          <w:color w:val="000000"/>
          <w:u w:color="000000"/>
        </w:rPr>
        <w:t xml:space="preserve"> is not due to </w:t>
      </w:r>
      <w:r w:rsidR="00A2702C">
        <w:rPr>
          <w:color w:val="000000"/>
          <w:u w:color="000000"/>
        </w:rPr>
        <w:t xml:space="preserve">decrease in </w:t>
      </w:r>
      <w:r w:rsidR="005655FE">
        <w:rPr>
          <w:color w:val="000000"/>
          <w:u w:color="000000"/>
        </w:rPr>
        <w:t>cell viability (</w:t>
      </w:r>
      <w:r w:rsidR="005655FE" w:rsidRPr="005655FE">
        <w:rPr>
          <w:b/>
          <w:bCs/>
          <w:color w:val="000000"/>
          <w:u w:color="000000"/>
        </w:rPr>
        <w:t>Figure 6</w:t>
      </w:r>
      <w:r w:rsidR="005655FE">
        <w:rPr>
          <w:color w:val="000000"/>
          <w:u w:color="000000"/>
        </w:rPr>
        <w:t xml:space="preserve">). </w:t>
      </w:r>
    </w:p>
    <w:p w14:paraId="70D39AE6" w14:textId="77777777" w:rsidR="007C6EAE" w:rsidRDefault="007C6EAE" w:rsidP="007C6EAE">
      <w:pPr>
        <w:autoSpaceDE w:val="0"/>
        <w:autoSpaceDN w:val="0"/>
        <w:adjustRightInd w:val="0"/>
        <w:jc w:val="center"/>
        <w:rPr>
          <w:color w:val="000000"/>
          <w:u w:color="000000"/>
        </w:rPr>
      </w:pPr>
    </w:p>
    <w:p w14:paraId="64DC646D" w14:textId="5412D072" w:rsidR="00E56748" w:rsidRDefault="007C6EAE" w:rsidP="007C6EAE">
      <w:pPr>
        <w:autoSpaceDE w:val="0"/>
        <w:autoSpaceDN w:val="0"/>
        <w:adjustRightInd w:val="0"/>
        <w:jc w:val="center"/>
        <w:rPr>
          <w:color w:val="000000"/>
          <w:u w:color="000000"/>
        </w:rPr>
      </w:pPr>
      <w:r>
        <w:rPr>
          <w:noProof/>
          <w:color w:val="000000"/>
          <w:u w:color="000000"/>
        </w:rPr>
        <w:drawing>
          <wp:anchor distT="0" distB="0" distL="114300" distR="114300" simplePos="0" relativeHeight="251678720" behindDoc="0" locked="0" layoutInCell="1" allowOverlap="1" wp14:anchorId="263422CF" wp14:editId="6023AF8E">
            <wp:simplePos x="0" y="0"/>
            <wp:positionH relativeFrom="column">
              <wp:posOffset>307542</wp:posOffset>
            </wp:positionH>
            <wp:positionV relativeFrom="paragraph">
              <wp:posOffset>0</wp:posOffset>
            </wp:positionV>
            <wp:extent cx="5486400" cy="2958905"/>
            <wp:effectExtent l="0" t="0" r="0" b="63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12-03 at 3.34.1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958905"/>
                    </a:xfrm>
                    <a:prstGeom prst="rect">
                      <a:avLst/>
                    </a:prstGeom>
                  </pic:spPr>
                </pic:pic>
              </a:graphicData>
            </a:graphic>
            <wp14:sizeRelH relativeFrom="page">
              <wp14:pctWidth>0</wp14:pctWidth>
            </wp14:sizeRelH>
            <wp14:sizeRelV relativeFrom="page">
              <wp14:pctHeight>0</wp14:pctHeight>
            </wp14:sizeRelV>
          </wp:anchor>
        </w:drawing>
      </w:r>
    </w:p>
    <w:p w14:paraId="1694847F" w14:textId="4108E805" w:rsidR="00E56748" w:rsidRDefault="0072228A" w:rsidP="009466B0">
      <w:pPr>
        <w:autoSpaceDE w:val="0"/>
        <w:autoSpaceDN w:val="0"/>
        <w:adjustRightInd w:val="0"/>
        <w:jc w:val="center"/>
        <w:rPr>
          <w:color w:val="000000"/>
          <w:u w:color="000000"/>
        </w:rPr>
      </w:pPr>
      <w:r>
        <w:rPr>
          <w:noProof/>
          <w:color w:val="000000"/>
          <w:u w:color="000000"/>
        </w:rPr>
        <w:drawing>
          <wp:inline distT="0" distB="0" distL="0" distR="0" wp14:anchorId="3305BE31" wp14:editId="7D72B84D">
            <wp:extent cx="4470400" cy="2806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12-03 at 3.26.20 PM.png"/>
                    <pic:cNvPicPr/>
                  </pic:nvPicPr>
                  <pic:blipFill>
                    <a:blip r:embed="rId12">
                      <a:extLst>
                        <a:ext uri="{28A0092B-C50C-407E-A947-70E740481C1C}">
                          <a14:useLocalDpi xmlns:a14="http://schemas.microsoft.com/office/drawing/2010/main" val="0"/>
                        </a:ext>
                      </a:extLst>
                    </a:blip>
                    <a:stretch>
                      <a:fillRect/>
                    </a:stretch>
                  </pic:blipFill>
                  <pic:spPr>
                    <a:xfrm>
                      <a:off x="0" y="0"/>
                      <a:ext cx="4470400" cy="2806700"/>
                    </a:xfrm>
                    <a:prstGeom prst="rect">
                      <a:avLst/>
                    </a:prstGeom>
                  </pic:spPr>
                </pic:pic>
              </a:graphicData>
            </a:graphic>
          </wp:inline>
        </w:drawing>
      </w:r>
    </w:p>
    <w:p w14:paraId="443DE862" w14:textId="42D2DB29" w:rsidR="005F76BD" w:rsidRDefault="005F76BD" w:rsidP="005F76BD">
      <w:pPr>
        <w:autoSpaceDE w:val="0"/>
        <w:autoSpaceDN w:val="0"/>
        <w:adjustRightInd w:val="0"/>
        <w:rPr>
          <w:b/>
          <w:bCs/>
          <w:color w:val="000000"/>
          <w:u w:color="000000"/>
        </w:rPr>
      </w:pPr>
      <w:r w:rsidRPr="005655FE">
        <w:rPr>
          <w:b/>
          <w:bCs/>
          <w:color w:val="000000"/>
          <w:u w:color="000000"/>
        </w:rPr>
        <w:t>Discussion</w:t>
      </w:r>
      <w:r>
        <w:rPr>
          <w:b/>
          <w:bCs/>
          <w:color w:val="000000"/>
          <w:u w:color="000000"/>
        </w:rPr>
        <w:t xml:space="preserve"> </w:t>
      </w:r>
    </w:p>
    <w:p w14:paraId="20F7226E" w14:textId="2BA90946" w:rsidR="007A49CD" w:rsidRDefault="005655FE" w:rsidP="005F76BD">
      <w:pPr>
        <w:autoSpaceDE w:val="0"/>
        <w:autoSpaceDN w:val="0"/>
        <w:adjustRightInd w:val="0"/>
        <w:rPr>
          <w:color w:val="000000"/>
          <w:u w:color="000000"/>
        </w:rPr>
      </w:pPr>
      <w:r>
        <w:rPr>
          <w:b/>
          <w:bCs/>
          <w:color w:val="000000"/>
          <w:u w:color="000000"/>
        </w:rPr>
        <w:tab/>
      </w:r>
      <w:r>
        <w:rPr>
          <w:color w:val="000000"/>
          <w:u w:color="000000"/>
        </w:rPr>
        <w:t>MAP2K1/MEK1, PDHK and NEK1</w:t>
      </w:r>
      <w:r w:rsidR="00D028E7">
        <w:rPr>
          <w:color w:val="000000"/>
          <w:u w:color="000000"/>
        </w:rPr>
        <w:t>, which are predicted to be present at recurrent mutation sites and</w:t>
      </w:r>
      <w:r w:rsidR="008D262E">
        <w:rPr>
          <w:color w:val="000000"/>
          <w:u w:color="000000"/>
        </w:rPr>
        <w:t xml:space="preserve"> suggest </w:t>
      </w:r>
      <w:r w:rsidR="00D028E7">
        <w:rPr>
          <w:color w:val="000000"/>
          <w:u w:color="000000"/>
        </w:rPr>
        <w:t>activity in Hedgehog Signaling or cancer</w:t>
      </w:r>
      <w:r>
        <w:rPr>
          <w:color w:val="000000"/>
          <w:u w:color="000000"/>
        </w:rPr>
        <w:t xml:space="preserve"> </w:t>
      </w:r>
      <w:r w:rsidR="00D028E7">
        <w:rPr>
          <w:color w:val="000000"/>
          <w:u w:color="000000"/>
        </w:rPr>
        <w:t xml:space="preserve">were </w:t>
      </w:r>
      <w:r w:rsidR="008D262E">
        <w:rPr>
          <w:color w:val="000000"/>
          <w:u w:color="000000"/>
        </w:rPr>
        <w:t>expected</w:t>
      </w:r>
      <w:r w:rsidR="00D028E7">
        <w:rPr>
          <w:color w:val="000000"/>
          <w:u w:color="000000"/>
        </w:rPr>
        <w:t xml:space="preserve"> to activate Hedgehog Signaling. Although Cobimetinib and Dichloroacetic Acid do not contribute to cell death, MAP2K1/MEK1 and PDHK do not demonstrate significant activation of Hedgehog Signaling in Wild Type and BCC cells treated with inhibitor as compared to diluent only treated cells. </w:t>
      </w:r>
      <w:r w:rsidR="00974E8D">
        <w:rPr>
          <w:color w:val="000000"/>
          <w:u w:color="000000"/>
        </w:rPr>
        <w:t>Using the Cobimetinib inhibitor of MAP2K1/MEK1 which is currently used as treatment for melanoma, there is no activation of Hedgehog Signaling by MAP2K1/MEK1</w:t>
      </w:r>
      <w:r w:rsidR="006A29AC">
        <w:rPr>
          <w:color w:val="000000"/>
          <w:u w:color="000000"/>
        </w:rPr>
        <w:t xml:space="preserve"> (</w:t>
      </w:r>
      <w:r w:rsidR="006A29AC" w:rsidRPr="006A29AC">
        <w:rPr>
          <w:b/>
          <w:bCs/>
          <w:color w:val="000000"/>
          <w:u w:color="000000"/>
        </w:rPr>
        <w:t>Figures 1, 2</w:t>
      </w:r>
      <w:r w:rsidR="006A29AC">
        <w:rPr>
          <w:color w:val="000000"/>
          <w:u w:color="000000"/>
        </w:rPr>
        <w:t>)</w:t>
      </w:r>
      <w:r w:rsidR="00974E8D">
        <w:rPr>
          <w:color w:val="000000"/>
          <w:u w:color="000000"/>
        </w:rPr>
        <w:t xml:space="preserve">. </w:t>
      </w:r>
      <w:r w:rsidR="00974E8D">
        <w:rPr>
          <w:color w:val="000000"/>
          <w:u w:color="000000"/>
        </w:rPr>
        <w:lastRenderedPageBreak/>
        <w:t xml:space="preserve">Due to the direct application of the inhibitor drug to skin cancer, it does not seem to be applicable to continue to pursue MAP2K1/MEK1 kinase </w:t>
      </w:r>
      <w:r w:rsidR="00A2702C">
        <w:rPr>
          <w:color w:val="000000"/>
          <w:u w:color="000000"/>
        </w:rPr>
        <w:t>as a</w:t>
      </w:r>
      <w:r w:rsidR="00974E8D">
        <w:rPr>
          <w:color w:val="000000"/>
          <w:u w:color="000000"/>
        </w:rPr>
        <w:t xml:space="preserve"> Hedgehog Signaling </w:t>
      </w:r>
      <w:r w:rsidR="00A2702C">
        <w:rPr>
          <w:color w:val="000000"/>
          <w:u w:color="000000"/>
        </w:rPr>
        <w:t>a</w:t>
      </w:r>
      <w:r w:rsidR="00974E8D">
        <w:rPr>
          <w:color w:val="000000"/>
          <w:u w:color="000000"/>
        </w:rPr>
        <w:t>ctiva</w:t>
      </w:r>
      <w:r w:rsidR="00A2702C">
        <w:rPr>
          <w:color w:val="000000"/>
          <w:u w:color="000000"/>
        </w:rPr>
        <w:t>tor.</w:t>
      </w:r>
      <w:r w:rsidR="00974E8D">
        <w:rPr>
          <w:color w:val="000000"/>
          <w:u w:color="000000"/>
        </w:rPr>
        <w:t xml:space="preserve"> Dichloroacetic Acid, </w:t>
      </w:r>
      <w:r w:rsidR="00D028E7">
        <w:rPr>
          <w:color w:val="000000"/>
          <w:u w:color="000000"/>
        </w:rPr>
        <w:t xml:space="preserve">a </w:t>
      </w:r>
      <w:r w:rsidR="00974E8D">
        <w:rPr>
          <w:color w:val="000000"/>
          <w:u w:color="000000"/>
        </w:rPr>
        <w:t xml:space="preserve">PDHK inhibitor selected for its accessibility, did </w:t>
      </w:r>
      <w:r w:rsidR="00A2702C">
        <w:rPr>
          <w:color w:val="000000"/>
          <w:u w:color="000000"/>
        </w:rPr>
        <w:t xml:space="preserve">not </w:t>
      </w:r>
      <w:r w:rsidR="00D028E7">
        <w:rPr>
          <w:color w:val="000000"/>
          <w:u w:color="000000"/>
        </w:rPr>
        <w:t>impact</w:t>
      </w:r>
      <w:r w:rsidR="00A2702C">
        <w:rPr>
          <w:color w:val="000000"/>
          <w:u w:color="000000"/>
        </w:rPr>
        <w:t xml:space="preserve"> activation of</w:t>
      </w:r>
      <w:r w:rsidR="00974E8D">
        <w:rPr>
          <w:color w:val="000000"/>
          <w:u w:color="000000"/>
        </w:rPr>
        <w:t xml:space="preserve"> Hedgehog Signaling</w:t>
      </w:r>
      <w:r w:rsidR="006A29AC">
        <w:rPr>
          <w:color w:val="000000"/>
          <w:u w:color="000000"/>
        </w:rPr>
        <w:t xml:space="preserve"> (</w:t>
      </w:r>
      <w:r w:rsidR="006A29AC" w:rsidRPr="006A29AC">
        <w:rPr>
          <w:b/>
          <w:bCs/>
          <w:color w:val="000000"/>
          <w:u w:color="000000"/>
        </w:rPr>
        <w:t>Figure 3</w:t>
      </w:r>
      <w:r w:rsidR="006A29AC">
        <w:rPr>
          <w:color w:val="000000"/>
          <w:u w:color="000000"/>
        </w:rPr>
        <w:t>)</w:t>
      </w:r>
      <w:r w:rsidR="00974E8D">
        <w:rPr>
          <w:color w:val="000000"/>
          <w:u w:color="000000"/>
        </w:rPr>
        <w:t>.</w:t>
      </w:r>
      <w:r w:rsidR="007A49CD">
        <w:rPr>
          <w:color w:val="000000"/>
          <w:u w:color="000000"/>
        </w:rPr>
        <w:t xml:space="preserve"> I</w:t>
      </w:r>
      <w:r w:rsidR="00974E8D">
        <w:rPr>
          <w:color w:val="000000"/>
          <w:u w:color="000000"/>
        </w:rPr>
        <w:t>ncrea</w:t>
      </w:r>
      <w:r w:rsidR="007A49CD">
        <w:rPr>
          <w:color w:val="000000"/>
          <w:u w:color="000000"/>
        </w:rPr>
        <w:t>sing</w:t>
      </w:r>
      <w:r w:rsidR="00974E8D">
        <w:rPr>
          <w:color w:val="000000"/>
          <w:u w:color="000000"/>
        </w:rPr>
        <w:t xml:space="preserve"> the range of drug dosag</w:t>
      </w:r>
      <w:r w:rsidR="00D028E7">
        <w:rPr>
          <w:color w:val="000000"/>
          <w:u w:color="000000"/>
        </w:rPr>
        <w:t xml:space="preserve">e </w:t>
      </w:r>
      <w:r w:rsidR="007A49CD">
        <w:rPr>
          <w:color w:val="000000"/>
          <w:u w:color="000000"/>
        </w:rPr>
        <w:t xml:space="preserve">may </w:t>
      </w:r>
      <w:r w:rsidR="00D028E7">
        <w:rPr>
          <w:color w:val="000000"/>
          <w:u w:color="000000"/>
        </w:rPr>
        <w:t xml:space="preserve">better inhibit PDHK and thus demonstrate reduction in GLI mRNA in the presence of </w:t>
      </w:r>
      <w:r w:rsidR="007A49CD">
        <w:rPr>
          <w:color w:val="000000"/>
          <w:u w:color="000000"/>
        </w:rPr>
        <w:t>inhibitor</w:t>
      </w:r>
      <w:r w:rsidR="00D028E7">
        <w:rPr>
          <w:color w:val="000000"/>
          <w:u w:color="000000"/>
        </w:rPr>
        <w:t>. However, a</w:t>
      </w:r>
      <w:r w:rsidR="00974E8D">
        <w:rPr>
          <w:color w:val="000000"/>
          <w:u w:color="000000"/>
        </w:rPr>
        <w:t xml:space="preserve">s this inhibitor is a general acid, </w:t>
      </w:r>
      <w:r w:rsidR="00D028E7">
        <w:rPr>
          <w:color w:val="000000"/>
          <w:u w:color="000000"/>
        </w:rPr>
        <w:t xml:space="preserve">it is likely </w:t>
      </w:r>
      <w:r w:rsidR="00974E8D">
        <w:rPr>
          <w:color w:val="000000"/>
          <w:u w:color="000000"/>
        </w:rPr>
        <w:t xml:space="preserve">interacting with multiple pathways within the cell; therefore, it would be critical to knock down the PDHK kinase with a short hairpin RNA or CRISPR to determine that the acid is </w:t>
      </w:r>
      <w:r w:rsidR="00FB19AC">
        <w:rPr>
          <w:color w:val="000000"/>
          <w:u w:color="000000"/>
        </w:rPr>
        <w:t xml:space="preserve">solely </w:t>
      </w:r>
      <w:r w:rsidR="00974E8D">
        <w:rPr>
          <w:color w:val="000000"/>
          <w:u w:color="000000"/>
        </w:rPr>
        <w:t>acting on the anticipated target</w:t>
      </w:r>
      <w:r w:rsidR="00FA4A1C">
        <w:rPr>
          <w:color w:val="000000"/>
          <w:u w:color="000000"/>
        </w:rPr>
        <w:t xml:space="preserve"> kinase.</w:t>
      </w:r>
      <w:r w:rsidR="00FB19AC">
        <w:rPr>
          <w:color w:val="000000"/>
          <w:u w:color="000000"/>
        </w:rPr>
        <w:t xml:space="preserve"> </w:t>
      </w:r>
      <w:r w:rsidR="00FA4A1C">
        <w:rPr>
          <w:color w:val="000000"/>
          <w:u w:color="000000"/>
        </w:rPr>
        <w:t xml:space="preserve">MAP2K1/MEK1 and PDHK, although predicted at </w:t>
      </w:r>
      <w:r w:rsidR="007A49CD">
        <w:rPr>
          <w:color w:val="000000"/>
          <w:u w:color="000000"/>
        </w:rPr>
        <w:t xml:space="preserve">recurrent activating </w:t>
      </w:r>
      <w:r w:rsidR="00FA4A1C">
        <w:rPr>
          <w:color w:val="000000"/>
          <w:u w:color="000000"/>
        </w:rPr>
        <w:t>mutation sites</w:t>
      </w:r>
      <w:r w:rsidR="007A49CD">
        <w:rPr>
          <w:color w:val="000000"/>
          <w:u w:color="000000"/>
        </w:rPr>
        <w:t>,</w:t>
      </w:r>
      <w:r w:rsidR="00850FAC">
        <w:rPr>
          <w:color w:val="000000"/>
          <w:u w:color="000000"/>
        </w:rPr>
        <w:t xml:space="preserve"> do not suggest </w:t>
      </w:r>
      <w:proofErr w:type="gramStart"/>
      <w:r w:rsidR="00850FAC">
        <w:rPr>
          <w:color w:val="000000"/>
          <w:u w:color="000000"/>
        </w:rPr>
        <w:t>t</w:t>
      </w:r>
      <w:r w:rsidR="00FA2879">
        <w:rPr>
          <w:color w:val="000000"/>
          <w:u w:color="000000"/>
        </w:rPr>
        <w:t>o be</w:t>
      </w:r>
      <w:proofErr w:type="gramEnd"/>
      <w:r w:rsidR="00D028E7">
        <w:rPr>
          <w:color w:val="000000"/>
          <w:u w:color="000000"/>
        </w:rPr>
        <w:t xml:space="preserve"> </w:t>
      </w:r>
      <w:r w:rsidR="007A49CD">
        <w:rPr>
          <w:color w:val="000000"/>
          <w:u w:color="000000"/>
        </w:rPr>
        <w:t>critical</w:t>
      </w:r>
      <w:r w:rsidR="00FA4A1C">
        <w:rPr>
          <w:color w:val="000000"/>
          <w:u w:color="000000"/>
        </w:rPr>
        <w:t xml:space="preserve"> </w:t>
      </w:r>
      <w:r w:rsidR="007A49CD">
        <w:rPr>
          <w:color w:val="000000"/>
          <w:u w:color="000000"/>
        </w:rPr>
        <w:t xml:space="preserve">in </w:t>
      </w:r>
      <w:r w:rsidR="00FA4A1C">
        <w:rPr>
          <w:color w:val="000000"/>
          <w:u w:color="000000"/>
        </w:rPr>
        <w:t>activation of the Hedgehog Signaling Pathway.</w:t>
      </w:r>
      <w:r w:rsidR="00D028E7">
        <w:rPr>
          <w:color w:val="000000"/>
          <w:u w:color="000000"/>
        </w:rPr>
        <w:t xml:space="preserve"> </w:t>
      </w:r>
    </w:p>
    <w:p w14:paraId="4C3D7372" w14:textId="43C23AFD" w:rsidR="007A49CD" w:rsidRDefault="00FA4A1C" w:rsidP="007A49CD">
      <w:pPr>
        <w:autoSpaceDE w:val="0"/>
        <w:autoSpaceDN w:val="0"/>
        <w:adjustRightInd w:val="0"/>
        <w:ind w:firstLine="720"/>
        <w:rPr>
          <w:color w:val="000000"/>
          <w:u w:color="000000"/>
        </w:rPr>
      </w:pPr>
      <w:r>
        <w:rPr>
          <w:color w:val="000000"/>
          <w:u w:color="000000"/>
        </w:rPr>
        <w:t>NEK1</w:t>
      </w:r>
      <w:r w:rsidR="00D028E7">
        <w:rPr>
          <w:color w:val="000000"/>
          <w:u w:color="000000"/>
        </w:rPr>
        <w:t xml:space="preserve">, </w:t>
      </w:r>
      <w:r>
        <w:rPr>
          <w:color w:val="000000"/>
          <w:u w:color="000000"/>
        </w:rPr>
        <w:t xml:space="preserve">which is responsible for regulating </w:t>
      </w:r>
      <w:proofErr w:type="spellStart"/>
      <w:r>
        <w:rPr>
          <w:color w:val="000000"/>
          <w:u w:color="000000"/>
        </w:rPr>
        <w:t>ciliogenesis</w:t>
      </w:r>
      <w:proofErr w:type="spellEnd"/>
      <w:r w:rsidR="00D028E7">
        <w:rPr>
          <w:color w:val="000000"/>
          <w:u w:color="000000"/>
        </w:rPr>
        <w:t>, a</w:t>
      </w:r>
      <w:r>
        <w:rPr>
          <w:color w:val="000000"/>
          <w:u w:color="000000"/>
        </w:rPr>
        <w:t>ctivates Hedgehog Signaling through the assay tested without impacting cell death</w:t>
      </w:r>
      <w:r w:rsidR="006A29AC">
        <w:rPr>
          <w:color w:val="000000"/>
          <w:u w:color="000000"/>
        </w:rPr>
        <w:t xml:space="preserve"> (</w:t>
      </w:r>
      <w:r w:rsidR="006A29AC" w:rsidRPr="006A29AC">
        <w:rPr>
          <w:b/>
          <w:bCs/>
          <w:color w:val="000000"/>
          <w:u w:color="000000"/>
        </w:rPr>
        <w:t>Figures 5, 6</w:t>
      </w:r>
      <w:r w:rsidR="006A29AC">
        <w:rPr>
          <w:color w:val="000000"/>
          <w:u w:color="000000"/>
        </w:rPr>
        <w:t>)</w:t>
      </w:r>
      <w:r>
        <w:rPr>
          <w:color w:val="000000"/>
          <w:u w:color="000000"/>
        </w:rPr>
        <w:t>.</w:t>
      </w:r>
      <w:r w:rsidR="006A29AC">
        <w:rPr>
          <w:color w:val="000000"/>
          <w:u w:color="000000"/>
        </w:rPr>
        <w:t xml:space="preserve"> </w:t>
      </w:r>
      <w:r w:rsidR="007A49CD">
        <w:rPr>
          <w:color w:val="000000"/>
          <w:u w:color="000000"/>
        </w:rPr>
        <w:t xml:space="preserve">Assessing GLI expression in diluent only treated Wild Type serum starved and </w:t>
      </w:r>
      <w:r w:rsidR="00FB19AC">
        <w:rPr>
          <w:color w:val="000000"/>
          <w:u w:color="000000"/>
        </w:rPr>
        <w:t xml:space="preserve">Wild Type </w:t>
      </w:r>
      <w:r w:rsidR="007A49CD">
        <w:rPr>
          <w:color w:val="000000"/>
          <w:u w:color="000000"/>
        </w:rPr>
        <w:t xml:space="preserve">serum starved cells with Hedgehog conditioned media, we see an increased expression of GLI in the Hedgehog conditioned media. This result is anticipated as the pathway is upregulated in these culturing conditions. When the Wild Type cells in Hedgehog conditioned serum starved media are treated with concentrations of NEK1 inhibitor Zinc05007751, GLI expression decreases. This decrease in fold change demonstrates the role of NEK1 in activating Hedgehog Signaling. This result is consistent in the serum starved BCC cells where Hedgehog Signaling is </w:t>
      </w:r>
      <w:r w:rsidR="00FA2879">
        <w:rPr>
          <w:color w:val="000000"/>
          <w:u w:color="000000"/>
        </w:rPr>
        <w:t>uncontrollably active</w:t>
      </w:r>
      <w:r w:rsidR="007A49CD">
        <w:rPr>
          <w:color w:val="000000"/>
          <w:u w:color="000000"/>
        </w:rPr>
        <w:t xml:space="preserve">. </w:t>
      </w:r>
    </w:p>
    <w:p w14:paraId="16F68D4A" w14:textId="1007D159" w:rsidR="007A49CD" w:rsidRDefault="00455F6F" w:rsidP="007A49CD">
      <w:pPr>
        <w:autoSpaceDE w:val="0"/>
        <w:autoSpaceDN w:val="0"/>
        <w:adjustRightInd w:val="0"/>
        <w:ind w:firstLine="720"/>
        <w:rPr>
          <w:color w:val="000000"/>
          <w:u w:color="000000"/>
        </w:rPr>
      </w:pPr>
      <w:r>
        <w:rPr>
          <w:color w:val="000000"/>
          <w:u w:color="000000"/>
        </w:rPr>
        <w:t xml:space="preserve">As </w:t>
      </w:r>
      <w:r w:rsidR="00463BB9">
        <w:rPr>
          <w:color w:val="000000"/>
          <w:u w:color="000000"/>
        </w:rPr>
        <w:t xml:space="preserve">NEK1 demonstrated expected activation of Hedgehog Signaling, </w:t>
      </w:r>
      <w:r w:rsidR="007A49CD">
        <w:rPr>
          <w:color w:val="000000"/>
          <w:u w:color="000000"/>
        </w:rPr>
        <w:t>it is of interest to confirm the role of NEK1 as a Hedgehog activator. To gain a more significant GLI reduction with inhibitor, it would be essential to incubate the Wild Type and BCC cells with their respective serum starved conditions for 24 hours before treatment to allow for the development of primary cilia. Additionally, it would be of interest to increase the Zinc05007751 treatment concentration range to gain a greater understanding of the activation of Hedgehog Signaling</w:t>
      </w:r>
      <w:r w:rsidR="00716988">
        <w:rPr>
          <w:color w:val="000000"/>
          <w:u w:color="000000"/>
        </w:rPr>
        <w:t xml:space="preserve"> </w:t>
      </w:r>
      <w:r w:rsidR="00FB19AC">
        <w:rPr>
          <w:color w:val="000000"/>
          <w:u w:color="000000"/>
        </w:rPr>
        <w:t xml:space="preserve">with the inhibition of </w:t>
      </w:r>
      <w:r w:rsidR="00716988">
        <w:rPr>
          <w:color w:val="000000"/>
          <w:u w:color="000000"/>
        </w:rPr>
        <w:t>NEK1</w:t>
      </w:r>
      <w:r w:rsidR="007A49CD">
        <w:rPr>
          <w:color w:val="000000"/>
          <w:u w:color="000000"/>
        </w:rPr>
        <w:t>. As the MTT assay was run on a BCC cell line that has developed</w:t>
      </w:r>
      <w:r w:rsidR="00716988">
        <w:rPr>
          <w:color w:val="000000"/>
          <w:u w:color="000000"/>
        </w:rPr>
        <w:t xml:space="preserve"> resistance over time</w:t>
      </w:r>
      <w:r w:rsidR="007A49CD">
        <w:rPr>
          <w:color w:val="000000"/>
          <w:u w:color="000000"/>
        </w:rPr>
        <w:t xml:space="preserve">, the cell cytotoxicity assay would need to be validated in a mouse keratinocyte line to </w:t>
      </w:r>
      <w:r w:rsidR="00716988">
        <w:rPr>
          <w:color w:val="000000"/>
          <w:u w:color="000000"/>
        </w:rPr>
        <w:t xml:space="preserve">better </w:t>
      </w:r>
      <w:r w:rsidR="007A49CD">
        <w:rPr>
          <w:color w:val="000000"/>
          <w:u w:color="000000"/>
        </w:rPr>
        <w:t xml:space="preserve">mimic </w:t>
      </w:r>
      <w:r w:rsidR="00716988">
        <w:rPr>
          <w:color w:val="000000"/>
          <w:u w:color="000000"/>
        </w:rPr>
        <w:t xml:space="preserve">toxicity in an organism. Finally, it would be interest to validate NEK1 as the target of Zinc05007751 by knocking out the kinase with short hairpin RNA or CRISPR. </w:t>
      </w:r>
    </w:p>
    <w:p w14:paraId="4068FF65" w14:textId="7260A2F2" w:rsidR="00463BB9" w:rsidRPr="005655FE" w:rsidRDefault="00716988" w:rsidP="00716988">
      <w:pPr>
        <w:autoSpaceDE w:val="0"/>
        <w:autoSpaceDN w:val="0"/>
        <w:adjustRightInd w:val="0"/>
        <w:ind w:firstLine="720"/>
        <w:rPr>
          <w:color w:val="000000"/>
          <w:u w:color="000000"/>
        </w:rPr>
      </w:pPr>
      <w:r>
        <w:rPr>
          <w:color w:val="000000"/>
          <w:u w:color="000000"/>
        </w:rPr>
        <w:t xml:space="preserve">After confirming the role of NEK1 in activating Hedgehog Signaling, the mechanism by which GLI1 and NEK1 interact would need to be investigated. To determine if GLI1 and NEK1 interact directly, an </w:t>
      </w:r>
      <w:r w:rsidRPr="00716988">
        <w:rPr>
          <w:i/>
          <w:iCs/>
          <w:color w:val="000000"/>
          <w:u w:color="000000"/>
        </w:rPr>
        <w:t>in vitro</w:t>
      </w:r>
      <w:r>
        <w:rPr>
          <w:color w:val="000000"/>
          <w:u w:color="000000"/>
        </w:rPr>
        <w:t xml:space="preserve"> assay with recombinant GLI and NEK1 proteins would be conducted. </w:t>
      </w:r>
      <w:r w:rsidR="00FA2879">
        <w:rPr>
          <w:color w:val="000000"/>
          <w:u w:color="000000"/>
        </w:rPr>
        <w:t>Additionally, a</w:t>
      </w:r>
      <w:bookmarkStart w:id="0" w:name="_GoBack"/>
      <w:bookmarkEnd w:id="0"/>
      <w:r w:rsidR="00FA2879">
        <w:rPr>
          <w:color w:val="000000"/>
          <w:u w:color="000000"/>
        </w:rPr>
        <w:t xml:space="preserve"> c</w:t>
      </w:r>
      <w:r>
        <w:rPr>
          <w:color w:val="000000"/>
          <w:u w:color="000000"/>
        </w:rPr>
        <w:t>o-</w:t>
      </w:r>
      <w:r w:rsidR="00FA2879">
        <w:rPr>
          <w:color w:val="000000"/>
          <w:u w:color="000000"/>
        </w:rPr>
        <w:t>im</w:t>
      </w:r>
      <w:r>
        <w:rPr>
          <w:color w:val="000000"/>
          <w:u w:color="000000"/>
        </w:rPr>
        <w:t xml:space="preserve">munoprecipitation assay can be used to assess the interaction of these two proteins </w:t>
      </w:r>
      <w:r w:rsidRPr="00716988">
        <w:rPr>
          <w:i/>
          <w:iCs/>
          <w:color w:val="000000"/>
          <w:u w:color="000000"/>
        </w:rPr>
        <w:t>in vivo</w:t>
      </w:r>
      <w:r>
        <w:rPr>
          <w:color w:val="000000"/>
          <w:u w:color="000000"/>
        </w:rPr>
        <w:t xml:space="preserve"> with antibody conjugates. Concurrent to these experiments, a larger kinase screen using the methodology used in this project would need to be conducted on </w:t>
      </w:r>
      <w:r w:rsidR="00FB19AC">
        <w:rPr>
          <w:color w:val="000000"/>
          <w:u w:color="000000"/>
        </w:rPr>
        <w:t xml:space="preserve">other </w:t>
      </w:r>
      <w:r>
        <w:rPr>
          <w:color w:val="000000"/>
          <w:u w:color="000000"/>
        </w:rPr>
        <w:t>kinases</w:t>
      </w:r>
      <w:r w:rsidR="00FB19AC">
        <w:rPr>
          <w:color w:val="000000"/>
          <w:u w:color="000000"/>
        </w:rPr>
        <w:t xml:space="preserve"> candidates</w:t>
      </w:r>
      <w:r>
        <w:rPr>
          <w:color w:val="000000"/>
          <w:u w:color="000000"/>
        </w:rPr>
        <w:t xml:space="preserve"> predicted to be active at re-current GLI1 mutation sites such as BUB1, PAK6 and CDK19 to expand the search of kinases that activate Hedgehog Signaling. From this rotation project we can conclude that</w:t>
      </w:r>
      <w:r w:rsidR="00463BB9">
        <w:rPr>
          <w:color w:val="000000"/>
          <w:u w:color="000000"/>
        </w:rPr>
        <w:t xml:space="preserve"> NEK1 kinase plays a role in activating the Hedgehog Signaling pathway. </w:t>
      </w:r>
    </w:p>
    <w:p w14:paraId="1608D929" w14:textId="0504572E" w:rsidR="005F76BD" w:rsidRDefault="005F76BD" w:rsidP="005F76BD">
      <w:pPr>
        <w:autoSpaceDE w:val="0"/>
        <w:autoSpaceDN w:val="0"/>
        <w:adjustRightInd w:val="0"/>
        <w:rPr>
          <w:color w:val="000000"/>
          <w:u w:color="000000"/>
        </w:rPr>
      </w:pPr>
    </w:p>
    <w:p w14:paraId="12913BF5" w14:textId="77777777" w:rsidR="00A50B67" w:rsidRDefault="00A50B67" w:rsidP="005F76BD">
      <w:pPr>
        <w:autoSpaceDE w:val="0"/>
        <w:autoSpaceDN w:val="0"/>
        <w:adjustRightInd w:val="0"/>
        <w:rPr>
          <w:color w:val="000000"/>
          <w:u w:color="000000"/>
        </w:rPr>
      </w:pPr>
    </w:p>
    <w:p w14:paraId="69661DF5" w14:textId="6E3B42D9" w:rsidR="005F76BD" w:rsidRDefault="005F76BD" w:rsidP="005F76BD">
      <w:pPr>
        <w:autoSpaceDE w:val="0"/>
        <w:autoSpaceDN w:val="0"/>
        <w:adjustRightInd w:val="0"/>
        <w:rPr>
          <w:color w:val="000000"/>
          <w:u w:color="000000"/>
        </w:rPr>
      </w:pPr>
    </w:p>
    <w:p w14:paraId="72806448" w14:textId="42941C43" w:rsidR="00463BB9" w:rsidRDefault="00463BB9" w:rsidP="005F76BD">
      <w:pPr>
        <w:autoSpaceDE w:val="0"/>
        <w:autoSpaceDN w:val="0"/>
        <w:adjustRightInd w:val="0"/>
        <w:rPr>
          <w:color w:val="000000"/>
          <w:u w:color="000000"/>
        </w:rPr>
      </w:pPr>
    </w:p>
    <w:p w14:paraId="470D04CA" w14:textId="597D9A0A" w:rsidR="00463BB9" w:rsidRDefault="00463BB9" w:rsidP="005F76BD">
      <w:pPr>
        <w:autoSpaceDE w:val="0"/>
        <w:autoSpaceDN w:val="0"/>
        <w:adjustRightInd w:val="0"/>
        <w:rPr>
          <w:color w:val="000000"/>
          <w:u w:color="000000"/>
        </w:rPr>
      </w:pPr>
    </w:p>
    <w:p w14:paraId="428B579C" w14:textId="76ACDDAD" w:rsidR="00463BB9" w:rsidRDefault="00463BB9" w:rsidP="005F76BD">
      <w:pPr>
        <w:autoSpaceDE w:val="0"/>
        <w:autoSpaceDN w:val="0"/>
        <w:adjustRightInd w:val="0"/>
        <w:rPr>
          <w:color w:val="000000"/>
          <w:u w:color="000000"/>
        </w:rPr>
      </w:pPr>
    </w:p>
    <w:p w14:paraId="60C1262A" w14:textId="6CE1FDE2" w:rsidR="00463BB9" w:rsidRDefault="00463BB9" w:rsidP="005F76BD">
      <w:pPr>
        <w:autoSpaceDE w:val="0"/>
        <w:autoSpaceDN w:val="0"/>
        <w:adjustRightInd w:val="0"/>
        <w:rPr>
          <w:color w:val="000000"/>
          <w:u w:color="000000"/>
        </w:rPr>
      </w:pPr>
    </w:p>
    <w:p w14:paraId="34D5C522" w14:textId="07F870E9" w:rsidR="00463BB9" w:rsidRDefault="00463BB9" w:rsidP="005F76BD">
      <w:pPr>
        <w:autoSpaceDE w:val="0"/>
        <w:autoSpaceDN w:val="0"/>
        <w:adjustRightInd w:val="0"/>
        <w:rPr>
          <w:color w:val="000000"/>
          <w:u w:color="000000"/>
        </w:rPr>
      </w:pPr>
    </w:p>
    <w:p w14:paraId="6B12DC82" w14:textId="77777777" w:rsidR="00716988" w:rsidRDefault="00716988" w:rsidP="005F76BD">
      <w:pPr>
        <w:rPr>
          <w:color w:val="000000"/>
          <w:u w:color="000000"/>
        </w:rPr>
      </w:pPr>
    </w:p>
    <w:p w14:paraId="1B2517D9" w14:textId="77777777" w:rsidR="00FB19AC" w:rsidRDefault="00FB19AC" w:rsidP="00716988">
      <w:pPr>
        <w:jc w:val="center"/>
        <w:rPr>
          <w:b/>
          <w:bCs/>
          <w:color w:val="000000"/>
          <w:u w:color="000000"/>
        </w:rPr>
      </w:pPr>
    </w:p>
    <w:p w14:paraId="0D98210A" w14:textId="16F6F516" w:rsidR="00C015ED" w:rsidRDefault="002B0389" w:rsidP="00716988">
      <w:pPr>
        <w:jc w:val="center"/>
        <w:rPr>
          <w:b/>
          <w:bCs/>
          <w:color w:val="000000"/>
          <w:u w:color="000000"/>
        </w:rPr>
      </w:pPr>
      <w:r>
        <w:rPr>
          <w:b/>
          <w:bCs/>
          <w:color w:val="000000"/>
          <w:u w:color="000000"/>
        </w:rPr>
        <w:t>Works Cited</w:t>
      </w:r>
    </w:p>
    <w:p w14:paraId="3F5E50B4" w14:textId="77777777" w:rsidR="00716988" w:rsidRDefault="00716988" w:rsidP="00716988">
      <w:pPr>
        <w:jc w:val="center"/>
        <w:rPr>
          <w:b/>
          <w:bCs/>
          <w:color w:val="000000"/>
          <w:u w:color="000000"/>
        </w:rPr>
      </w:pPr>
    </w:p>
    <w:p w14:paraId="3F28B71C" w14:textId="77777777" w:rsidR="00716988" w:rsidRPr="00716988" w:rsidRDefault="00716988" w:rsidP="00716988">
      <w:pPr>
        <w:pStyle w:val="Bibliography"/>
        <w:rPr>
          <w:color w:val="000000"/>
        </w:rPr>
      </w:pPr>
      <w:r>
        <w:rPr>
          <w:b/>
          <w:bCs/>
          <w:color w:val="000000"/>
          <w:u w:color="000000"/>
        </w:rPr>
        <w:fldChar w:fldCharType="begin"/>
      </w:r>
      <w:r>
        <w:rPr>
          <w:b/>
          <w:bCs/>
          <w:color w:val="000000"/>
          <w:u w:color="000000"/>
        </w:rPr>
        <w:instrText xml:space="preserve"> ADDIN ZOTERO_BIBL {"uncited":[],"omitted":[],"custom":[]} CSL_BIBLIOGRAPHY </w:instrText>
      </w:r>
      <w:r>
        <w:rPr>
          <w:b/>
          <w:bCs/>
          <w:color w:val="000000"/>
          <w:u w:color="000000"/>
        </w:rPr>
        <w:fldChar w:fldCharType="separate"/>
      </w:r>
      <w:r w:rsidRPr="00716988">
        <w:rPr>
          <w:color w:val="000000"/>
        </w:rPr>
        <w:t>1.</w:t>
      </w:r>
      <w:r w:rsidRPr="00716988">
        <w:rPr>
          <w:color w:val="000000"/>
        </w:rPr>
        <w:tab/>
        <w:t xml:space="preserve">Basal Cell Carcinoma. </w:t>
      </w:r>
      <w:r w:rsidRPr="00716988">
        <w:rPr>
          <w:i/>
          <w:iCs/>
          <w:color w:val="000000"/>
        </w:rPr>
        <w:t>The Skin Cancer Foundation</w:t>
      </w:r>
      <w:r w:rsidRPr="00716988">
        <w:rPr>
          <w:color w:val="000000"/>
        </w:rPr>
        <w:t xml:space="preserve"> https://www.skincancer.org/skin-cancer-information/basal-cell-carcinoma/.</w:t>
      </w:r>
    </w:p>
    <w:p w14:paraId="1805946D" w14:textId="77777777" w:rsidR="00716988" w:rsidRPr="00716988" w:rsidRDefault="00716988" w:rsidP="00716988">
      <w:pPr>
        <w:pStyle w:val="Bibliography"/>
        <w:rPr>
          <w:color w:val="000000"/>
        </w:rPr>
      </w:pPr>
      <w:r w:rsidRPr="00716988">
        <w:rPr>
          <w:color w:val="000000"/>
        </w:rPr>
        <w:t>2.</w:t>
      </w:r>
      <w:r w:rsidRPr="00716988">
        <w:rPr>
          <w:color w:val="000000"/>
        </w:rPr>
        <w:tab/>
        <w:t xml:space="preserve">Varjosalo, M. &amp; Taipale, J. Hedgehog signaling. </w:t>
      </w:r>
      <w:r w:rsidRPr="00716988">
        <w:rPr>
          <w:i/>
          <w:iCs/>
          <w:color w:val="000000"/>
        </w:rPr>
        <w:t>J. Cell Sci.</w:t>
      </w:r>
      <w:r w:rsidRPr="00716988">
        <w:rPr>
          <w:color w:val="000000"/>
        </w:rPr>
        <w:t xml:space="preserve"> </w:t>
      </w:r>
      <w:r w:rsidRPr="00716988">
        <w:rPr>
          <w:b/>
          <w:bCs/>
          <w:color w:val="000000"/>
        </w:rPr>
        <w:t>120</w:t>
      </w:r>
      <w:r w:rsidRPr="00716988">
        <w:rPr>
          <w:color w:val="000000"/>
        </w:rPr>
        <w:t>, 3–6 (2007).</w:t>
      </w:r>
    </w:p>
    <w:p w14:paraId="291BD89D" w14:textId="77777777" w:rsidR="00716988" w:rsidRPr="00716988" w:rsidRDefault="00716988" w:rsidP="00716988">
      <w:pPr>
        <w:pStyle w:val="Bibliography"/>
        <w:rPr>
          <w:color w:val="000000"/>
        </w:rPr>
      </w:pPr>
      <w:r w:rsidRPr="00716988">
        <w:rPr>
          <w:color w:val="000000"/>
        </w:rPr>
        <w:t>3.</w:t>
      </w:r>
      <w:r w:rsidRPr="00716988">
        <w:rPr>
          <w:color w:val="000000"/>
        </w:rPr>
        <w:tab/>
        <w:t xml:space="preserve">Atwood, S. X., Chang, A. L. S. &amp; Oro, A. E. Hedgehog pathway inhibition and the race against tumor evolution. </w:t>
      </w:r>
      <w:r w:rsidRPr="00716988">
        <w:rPr>
          <w:i/>
          <w:iCs/>
          <w:color w:val="000000"/>
        </w:rPr>
        <w:t>J. Cell Biol.</w:t>
      </w:r>
      <w:r w:rsidRPr="00716988">
        <w:rPr>
          <w:color w:val="000000"/>
        </w:rPr>
        <w:t xml:space="preserve"> </w:t>
      </w:r>
      <w:r w:rsidRPr="00716988">
        <w:rPr>
          <w:b/>
          <w:bCs/>
          <w:color w:val="000000"/>
        </w:rPr>
        <w:t>199</w:t>
      </w:r>
      <w:r w:rsidRPr="00716988">
        <w:rPr>
          <w:color w:val="000000"/>
        </w:rPr>
        <w:t>, 193–197 (2012).</w:t>
      </w:r>
    </w:p>
    <w:p w14:paraId="2C51CFA9" w14:textId="77777777" w:rsidR="00716988" w:rsidRPr="00716988" w:rsidRDefault="00716988" w:rsidP="00716988">
      <w:pPr>
        <w:pStyle w:val="Bibliography"/>
        <w:rPr>
          <w:color w:val="000000"/>
        </w:rPr>
      </w:pPr>
      <w:r w:rsidRPr="00716988">
        <w:rPr>
          <w:color w:val="000000"/>
        </w:rPr>
        <w:t>4.</w:t>
      </w:r>
      <w:r w:rsidRPr="00716988">
        <w:rPr>
          <w:color w:val="000000"/>
        </w:rPr>
        <w:tab/>
        <w:t xml:space="preserve">Pricl, S. </w:t>
      </w:r>
      <w:r w:rsidRPr="00716988">
        <w:rPr>
          <w:i/>
          <w:iCs/>
          <w:color w:val="000000"/>
        </w:rPr>
        <w:t>et al.</w:t>
      </w:r>
      <w:r w:rsidRPr="00716988">
        <w:rPr>
          <w:color w:val="000000"/>
        </w:rPr>
        <w:t xml:space="preserve"> Smoothened (SMO) receptor mutations dictate resistance to vismodegib in basal cell carcinoma. </w:t>
      </w:r>
      <w:r w:rsidRPr="00716988">
        <w:rPr>
          <w:i/>
          <w:iCs/>
          <w:color w:val="000000"/>
        </w:rPr>
        <w:t>Mol. Oncol.</w:t>
      </w:r>
      <w:r w:rsidRPr="00716988">
        <w:rPr>
          <w:color w:val="000000"/>
        </w:rPr>
        <w:t xml:space="preserve"> </w:t>
      </w:r>
      <w:r w:rsidRPr="00716988">
        <w:rPr>
          <w:b/>
          <w:bCs/>
          <w:color w:val="000000"/>
        </w:rPr>
        <w:t>9</w:t>
      </w:r>
      <w:r w:rsidRPr="00716988">
        <w:rPr>
          <w:color w:val="000000"/>
        </w:rPr>
        <w:t>, 389–397 (2015).</w:t>
      </w:r>
    </w:p>
    <w:p w14:paraId="59984AF4" w14:textId="77777777" w:rsidR="00716988" w:rsidRPr="00716988" w:rsidRDefault="00716988" w:rsidP="00716988">
      <w:pPr>
        <w:pStyle w:val="Bibliography"/>
        <w:rPr>
          <w:color w:val="000000"/>
        </w:rPr>
      </w:pPr>
      <w:r w:rsidRPr="00716988">
        <w:rPr>
          <w:color w:val="000000"/>
        </w:rPr>
        <w:t>5.</w:t>
      </w:r>
      <w:r w:rsidRPr="00716988">
        <w:rPr>
          <w:color w:val="000000"/>
        </w:rPr>
        <w:tab/>
        <w:t xml:space="preserve">Sharpe, H. J. </w:t>
      </w:r>
      <w:r w:rsidRPr="00716988">
        <w:rPr>
          <w:i/>
          <w:iCs/>
          <w:color w:val="000000"/>
        </w:rPr>
        <w:t>et al.</w:t>
      </w:r>
      <w:r w:rsidRPr="00716988">
        <w:rPr>
          <w:color w:val="000000"/>
        </w:rPr>
        <w:t xml:space="preserve"> Genomic analysis of Smoothened inhibitor resistance in basal cell carcinoma. </w:t>
      </w:r>
      <w:r w:rsidRPr="00716988">
        <w:rPr>
          <w:i/>
          <w:iCs/>
          <w:color w:val="000000"/>
        </w:rPr>
        <w:t>Cancer Cell</w:t>
      </w:r>
      <w:r w:rsidRPr="00716988">
        <w:rPr>
          <w:color w:val="000000"/>
        </w:rPr>
        <w:t xml:space="preserve"> </w:t>
      </w:r>
      <w:r w:rsidRPr="00716988">
        <w:rPr>
          <w:b/>
          <w:bCs/>
          <w:color w:val="000000"/>
        </w:rPr>
        <w:t>27</w:t>
      </w:r>
      <w:r w:rsidRPr="00716988">
        <w:rPr>
          <w:color w:val="000000"/>
        </w:rPr>
        <w:t>, 327–341 (2015).</w:t>
      </w:r>
    </w:p>
    <w:p w14:paraId="42805433" w14:textId="77777777" w:rsidR="00716988" w:rsidRPr="00716988" w:rsidRDefault="00716988" w:rsidP="00716988">
      <w:pPr>
        <w:pStyle w:val="Bibliography"/>
        <w:rPr>
          <w:color w:val="000000"/>
        </w:rPr>
      </w:pPr>
      <w:r w:rsidRPr="00716988">
        <w:rPr>
          <w:color w:val="000000"/>
        </w:rPr>
        <w:t>6.</w:t>
      </w:r>
      <w:r w:rsidRPr="00716988">
        <w:rPr>
          <w:color w:val="000000"/>
        </w:rPr>
        <w:tab/>
        <w:t xml:space="preserve">Niewiadomski, P. </w:t>
      </w:r>
      <w:r w:rsidRPr="00716988">
        <w:rPr>
          <w:i/>
          <w:iCs/>
          <w:color w:val="000000"/>
        </w:rPr>
        <w:t>et al.</w:t>
      </w:r>
      <w:r w:rsidRPr="00716988">
        <w:rPr>
          <w:color w:val="000000"/>
        </w:rPr>
        <w:t xml:space="preserve"> Gli protein activity is controlled by multi-site phosphorylation in vertebrate Hedgehog signaling. </w:t>
      </w:r>
      <w:r w:rsidRPr="00716988">
        <w:rPr>
          <w:i/>
          <w:iCs/>
          <w:color w:val="000000"/>
        </w:rPr>
        <w:t>Cell Rep.</w:t>
      </w:r>
      <w:r w:rsidRPr="00716988">
        <w:rPr>
          <w:color w:val="000000"/>
        </w:rPr>
        <w:t xml:space="preserve"> </w:t>
      </w:r>
      <w:r w:rsidRPr="00716988">
        <w:rPr>
          <w:b/>
          <w:bCs/>
          <w:color w:val="000000"/>
        </w:rPr>
        <w:t>6</w:t>
      </w:r>
      <w:r w:rsidRPr="00716988">
        <w:rPr>
          <w:color w:val="000000"/>
        </w:rPr>
        <w:t>, 168–181 (2014).</w:t>
      </w:r>
    </w:p>
    <w:p w14:paraId="502AEF09" w14:textId="77777777" w:rsidR="00716988" w:rsidRPr="00716988" w:rsidRDefault="00716988" w:rsidP="00716988">
      <w:pPr>
        <w:pStyle w:val="Bibliography"/>
        <w:rPr>
          <w:color w:val="000000"/>
        </w:rPr>
      </w:pPr>
      <w:r w:rsidRPr="00716988">
        <w:rPr>
          <w:color w:val="000000"/>
        </w:rPr>
        <w:t>7.</w:t>
      </w:r>
      <w:r w:rsidRPr="00716988">
        <w:rPr>
          <w:color w:val="000000"/>
        </w:rPr>
        <w:tab/>
        <w:t xml:space="preserve">Gu, D. </w:t>
      </w:r>
      <w:r w:rsidRPr="00716988">
        <w:rPr>
          <w:i/>
          <w:iCs/>
          <w:color w:val="000000"/>
        </w:rPr>
        <w:t>et al.</w:t>
      </w:r>
      <w:r w:rsidRPr="00716988">
        <w:rPr>
          <w:color w:val="000000"/>
        </w:rPr>
        <w:t xml:space="preserve"> Simultaneous Inhibition of MEK and Hh Signaling Reduces Pancreatic Cancer Metastasis. </w:t>
      </w:r>
      <w:r w:rsidRPr="00716988">
        <w:rPr>
          <w:i/>
          <w:iCs/>
          <w:color w:val="000000"/>
        </w:rPr>
        <w:t>Cancers</w:t>
      </w:r>
      <w:r w:rsidRPr="00716988">
        <w:rPr>
          <w:color w:val="000000"/>
        </w:rPr>
        <w:t xml:space="preserve"> </w:t>
      </w:r>
      <w:r w:rsidRPr="00716988">
        <w:rPr>
          <w:b/>
          <w:bCs/>
          <w:color w:val="000000"/>
        </w:rPr>
        <w:t>10</w:t>
      </w:r>
      <w:r w:rsidRPr="00716988">
        <w:rPr>
          <w:color w:val="000000"/>
        </w:rPr>
        <w:t>, (2018).</w:t>
      </w:r>
    </w:p>
    <w:p w14:paraId="1A210330" w14:textId="77777777" w:rsidR="00716988" w:rsidRPr="00716988" w:rsidRDefault="00716988" w:rsidP="00716988">
      <w:pPr>
        <w:pStyle w:val="Bibliography"/>
        <w:rPr>
          <w:color w:val="000000"/>
        </w:rPr>
      </w:pPr>
      <w:r w:rsidRPr="00716988">
        <w:rPr>
          <w:color w:val="000000"/>
        </w:rPr>
        <w:t>8.</w:t>
      </w:r>
      <w:r w:rsidRPr="00716988">
        <w:rPr>
          <w:color w:val="000000"/>
        </w:rPr>
        <w:tab/>
        <w:t xml:space="preserve">Liu, Z., Li, T., Reinhold, M. I. &amp; Naski, M. C. MEK1-RSK2 contributes to Hedgehog signaling by stabilizing GLI2 transcription factor and inhibiting ubiquitination. </w:t>
      </w:r>
      <w:r w:rsidRPr="00716988">
        <w:rPr>
          <w:i/>
          <w:iCs/>
          <w:color w:val="000000"/>
        </w:rPr>
        <w:t>Oncogene</w:t>
      </w:r>
      <w:r w:rsidRPr="00716988">
        <w:rPr>
          <w:color w:val="000000"/>
        </w:rPr>
        <w:t xml:space="preserve"> </w:t>
      </w:r>
      <w:r w:rsidRPr="00716988">
        <w:rPr>
          <w:b/>
          <w:bCs/>
          <w:color w:val="000000"/>
        </w:rPr>
        <w:t>33</w:t>
      </w:r>
      <w:r w:rsidRPr="00716988">
        <w:rPr>
          <w:color w:val="000000"/>
        </w:rPr>
        <w:t>, 65–73 (2014).</w:t>
      </w:r>
    </w:p>
    <w:p w14:paraId="7F8416E2" w14:textId="77777777" w:rsidR="00716988" w:rsidRPr="00716988" w:rsidRDefault="00716988" w:rsidP="00716988">
      <w:pPr>
        <w:pStyle w:val="Bibliography"/>
        <w:rPr>
          <w:color w:val="000000"/>
        </w:rPr>
      </w:pPr>
      <w:r w:rsidRPr="00716988">
        <w:rPr>
          <w:color w:val="000000"/>
        </w:rPr>
        <w:t>9.</w:t>
      </w:r>
      <w:r w:rsidRPr="00716988">
        <w:rPr>
          <w:color w:val="000000"/>
        </w:rPr>
        <w:tab/>
        <w:t xml:space="preserve">Liu, H. </w:t>
      </w:r>
      <w:r w:rsidRPr="00716988">
        <w:rPr>
          <w:i/>
          <w:iCs/>
          <w:color w:val="000000"/>
        </w:rPr>
        <w:t>et al.</w:t>
      </w:r>
      <w:r w:rsidRPr="00716988">
        <w:rPr>
          <w:color w:val="000000"/>
        </w:rPr>
        <w:t xml:space="preserve"> The MEK/ERK signalling cascade is required for sonic hedgehog signalling pathway-mediated enhancement of proliferation and inhibition of apoptosis in normal keratinocytes. </w:t>
      </w:r>
      <w:r w:rsidRPr="00716988">
        <w:rPr>
          <w:i/>
          <w:iCs/>
          <w:color w:val="000000"/>
        </w:rPr>
        <w:t>Exp. Dermatol.</w:t>
      </w:r>
      <w:r w:rsidRPr="00716988">
        <w:rPr>
          <w:color w:val="000000"/>
        </w:rPr>
        <w:t xml:space="preserve"> </w:t>
      </w:r>
      <w:r w:rsidRPr="00716988">
        <w:rPr>
          <w:b/>
          <w:bCs/>
          <w:color w:val="000000"/>
        </w:rPr>
        <w:t>23</w:t>
      </w:r>
      <w:r w:rsidRPr="00716988">
        <w:rPr>
          <w:color w:val="000000"/>
        </w:rPr>
        <w:t>, 896–901 (2014).</w:t>
      </w:r>
    </w:p>
    <w:p w14:paraId="096EE320" w14:textId="77777777" w:rsidR="00716988" w:rsidRPr="00716988" w:rsidRDefault="00716988" w:rsidP="00716988">
      <w:pPr>
        <w:pStyle w:val="Bibliography"/>
        <w:rPr>
          <w:color w:val="000000"/>
        </w:rPr>
      </w:pPr>
      <w:r w:rsidRPr="00716988">
        <w:rPr>
          <w:color w:val="000000"/>
        </w:rPr>
        <w:lastRenderedPageBreak/>
        <w:t>10.</w:t>
      </w:r>
      <w:r w:rsidRPr="00716988">
        <w:rPr>
          <w:color w:val="000000"/>
        </w:rPr>
        <w:tab/>
        <w:t xml:space="preserve">Rowdo, F. P. M., Barón, A., Von Euw, E. M. &amp; Mordoh, J. In vitro long-term treatment with MAPK inhibitors induces melanoma cells with resistance plasticity to inhibitors while retaining sensitivity to CD8 T cells. </w:t>
      </w:r>
      <w:r w:rsidRPr="00716988">
        <w:rPr>
          <w:i/>
          <w:iCs/>
          <w:color w:val="000000"/>
        </w:rPr>
        <w:t>Oncol. Rep.</w:t>
      </w:r>
      <w:r w:rsidRPr="00716988">
        <w:rPr>
          <w:color w:val="000000"/>
        </w:rPr>
        <w:t xml:space="preserve"> </w:t>
      </w:r>
      <w:r w:rsidRPr="00716988">
        <w:rPr>
          <w:b/>
          <w:bCs/>
          <w:color w:val="000000"/>
        </w:rPr>
        <w:t>37</w:t>
      </w:r>
      <w:r w:rsidRPr="00716988">
        <w:rPr>
          <w:color w:val="000000"/>
        </w:rPr>
        <w:t>, 1367–1378 (2017).</w:t>
      </w:r>
    </w:p>
    <w:p w14:paraId="7E0C0263" w14:textId="77777777" w:rsidR="00716988" w:rsidRPr="00716988" w:rsidRDefault="00716988" w:rsidP="00716988">
      <w:pPr>
        <w:pStyle w:val="Bibliography"/>
        <w:rPr>
          <w:color w:val="000000"/>
        </w:rPr>
      </w:pPr>
      <w:r w:rsidRPr="00716988">
        <w:rPr>
          <w:color w:val="000000"/>
        </w:rPr>
        <w:t>11.</w:t>
      </w:r>
      <w:r w:rsidRPr="00716988">
        <w:rPr>
          <w:color w:val="000000"/>
        </w:rPr>
        <w:tab/>
        <w:t xml:space="preserve">Golias, T., Kery, M., Radenkovic, S. &amp; Papandreou, I. Microenvironmental control of glucose metabolism in tumors by regulation of pyruvate dehydrogenase. </w:t>
      </w:r>
      <w:r w:rsidRPr="00716988">
        <w:rPr>
          <w:i/>
          <w:iCs/>
          <w:color w:val="000000"/>
        </w:rPr>
        <w:t>Int. J. Cancer</w:t>
      </w:r>
      <w:r w:rsidRPr="00716988">
        <w:rPr>
          <w:color w:val="000000"/>
        </w:rPr>
        <w:t xml:space="preserve"> </w:t>
      </w:r>
      <w:r w:rsidRPr="00716988">
        <w:rPr>
          <w:b/>
          <w:bCs/>
          <w:color w:val="000000"/>
        </w:rPr>
        <w:t>144</w:t>
      </w:r>
      <w:r w:rsidRPr="00716988">
        <w:rPr>
          <w:color w:val="000000"/>
        </w:rPr>
        <w:t>, 674–686 (2019).</w:t>
      </w:r>
    </w:p>
    <w:p w14:paraId="2DC47FE9" w14:textId="77777777" w:rsidR="00716988" w:rsidRPr="00716988" w:rsidRDefault="00716988" w:rsidP="00716988">
      <w:pPr>
        <w:pStyle w:val="Bibliography"/>
        <w:rPr>
          <w:color w:val="000000"/>
        </w:rPr>
      </w:pPr>
      <w:r w:rsidRPr="00716988">
        <w:rPr>
          <w:color w:val="000000"/>
        </w:rPr>
        <w:t>12.</w:t>
      </w:r>
      <w:r w:rsidRPr="00716988">
        <w:rPr>
          <w:color w:val="000000"/>
        </w:rPr>
        <w:tab/>
        <w:t xml:space="preserve">Zhou, L. </w:t>
      </w:r>
      <w:r w:rsidRPr="00716988">
        <w:rPr>
          <w:i/>
          <w:iCs/>
          <w:color w:val="000000"/>
        </w:rPr>
        <w:t>et al.</w:t>
      </w:r>
      <w:r w:rsidRPr="00716988">
        <w:rPr>
          <w:color w:val="000000"/>
        </w:rPr>
        <w:t xml:space="preserve"> &lt;p&gt;Dichloroacetic acid upregulates apoptosis of ovarian cancer cells by regulating mitochondrial function&lt;/p&gt;. </w:t>
      </w:r>
      <w:r w:rsidRPr="00716988">
        <w:rPr>
          <w:i/>
          <w:iCs/>
          <w:color w:val="000000"/>
        </w:rPr>
        <w:t>OncoTargets and Therapy</w:t>
      </w:r>
      <w:r w:rsidRPr="00716988">
        <w:rPr>
          <w:color w:val="000000"/>
        </w:rPr>
        <w:t xml:space="preserve"> https://www.dovepress.com/dichloroacetic-acid-upregulates-apoptosis-of-ovarian-cancer-cells-by-r-peer-reviewed-fulltext-article-OTT (2019) doi:10.2147/OTT.S194329.</w:t>
      </w:r>
    </w:p>
    <w:p w14:paraId="666BCF81" w14:textId="77777777" w:rsidR="00716988" w:rsidRPr="00716988" w:rsidRDefault="00716988" w:rsidP="00716988">
      <w:pPr>
        <w:pStyle w:val="Bibliography"/>
        <w:rPr>
          <w:color w:val="000000"/>
        </w:rPr>
      </w:pPr>
      <w:r w:rsidRPr="00716988">
        <w:rPr>
          <w:color w:val="000000"/>
        </w:rPr>
        <w:t>13.</w:t>
      </w:r>
      <w:r w:rsidRPr="00716988">
        <w:rPr>
          <w:color w:val="000000"/>
        </w:rPr>
        <w:tab/>
        <w:t xml:space="preserve">Melo-Hanchuk, T. D. </w:t>
      </w:r>
      <w:r w:rsidRPr="00716988">
        <w:rPr>
          <w:i/>
          <w:iCs/>
          <w:color w:val="000000"/>
        </w:rPr>
        <w:t>et al.</w:t>
      </w:r>
      <w:r w:rsidRPr="00716988">
        <w:rPr>
          <w:color w:val="000000"/>
        </w:rPr>
        <w:t xml:space="preserve"> NEK1 kinase domain structure and its dynamic protein interactome after exposure to Cisplatin. </w:t>
      </w:r>
      <w:r w:rsidRPr="00716988">
        <w:rPr>
          <w:i/>
          <w:iCs/>
          <w:color w:val="000000"/>
        </w:rPr>
        <w:t>Sci. Rep.</w:t>
      </w:r>
      <w:r w:rsidRPr="00716988">
        <w:rPr>
          <w:color w:val="000000"/>
        </w:rPr>
        <w:t xml:space="preserve"> </w:t>
      </w:r>
      <w:r w:rsidRPr="00716988">
        <w:rPr>
          <w:b/>
          <w:bCs/>
          <w:color w:val="000000"/>
        </w:rPr>
        <w:t>7</w:t>
      </w:r>
      <w:r w:rsidRPr="00716988">
        <w:rPr>
          <w:color w:val="000000"/>
        </w:rPr>
        <w:t>, (2017).</w:t>
      </w:r>
    </w:p>
    <w:p w14:paraId="51047B1A" w14:textId="77777777" w:rsidR="00716988" w:rsidRPr="00716988" w:rsidRDefault="00716988" w:rsidP="00716988">
      <w:pPr>
        <w:pStyle w:val="Bibliography"/>
        <w:rPr>
          <w:color w:val="000000"/>
        </w:rPr>
      </w:pPr>
      <w:r w:rsidRPr="00716988">
        <w:rPr>
          <w:color w:val="000000"/>
        </w:rPr>
        <w:t>14.</w:t>
      </w:r>
      <w:r w:rsidRPr="00716988">
        <w:rPr>
          <w:color w:val="000000"/>
        </w:rPr>
        <w:tab/>
        <w:t xml:space="preserve">Evangelista, M. </w:t>
      </w:r>
      <w:r w:rsidRPr="00716988">
        <w:rPr>
          <w:i/>
          <w:iCs/>
          <w:color w:val="000000"/>
        </w:rPr>
        <w:t>et al.</w:t>
      </w:r>
      <w:r w:rsidRPr="00716988">
        <w:rPr>
          <w:color w:val="000000"/>
        </w:rPr>
        <w:t xml:space="preserve"> Kinome siRNA Screen Identifies Regulators of Ciliogenesis and Hedgehog Signal Transduction. </w:t>
      </w:r>
      <w:r w:rsidRPr="00716988">
        <w:rPr>
          <w:i/>
          <w:iCs/>
          <w:color w:val="000000"/>
        </w:rPr>
        <w:t>Sci. Signal.</w:t>
      </w:r>
      <w:r w:rsidRPr="00716988">
        <w:rPr>
          <w:color w:val="000000"/>
        </w:rPr>
        <w:t xml:space="preserve"> </w:t>
      </w:r>
      <w:r w:rsidRPr="00716988">
        <w:rPr>
          <w:b/>
          <w:bCs/>
          <w:color w:val="000000"/>
        </w:rPr>
        <w:t>1</w:t>
      </w:r>
      <w:r w:rsidRPr="00716988">
        <w:rPr>
          <w:color w:val="000000"/>
        </w:rPr>
        <w:t>, ra7–ra7 (2008).</w:t>
      </w:r>
    </w:p>
    <w:p w14:paraId="682212D4" w14:textId="53A1472F" w:rsidR="00716988" w:rsidRDefault="00716988" w:rsidP="00716988">
      <w:pPr>
        <w:jc w:val="center"/>
        <w:rPr>
          <w:b/>
          <w:bCs/>
          <w:color w:val="000000"/>
          <w:u w:color="000000"/>
        </w:rPr>
      </w:pPr>
      <w:r>
        <w:rPr>
          <w:b/>
          <w:bCs/>
          <w:color w:val="000000"/>
          <w:u w:color="000000"/>
        </w:rPr>
        <w:fldChar w:fldCharType="end"/>
      </w:r>
    </w:p>
    <w:p w14:paraId="239E92C5" w14:textId="428382FA" w:rsidR="00A50B67" w:rsidRDefault="00A50B67" w:rsidP="005F76BD">
      <w:pPr>
        <w:rPr>
          <w:b/>
          <w:bCs/>
          <w:color w:val="000000"/>
          <w:u w:color="000000"/>
        </w:rPr>
      </w:pPr>
    </w:p>
    <w:p w14:paraId="7BD9D173" w14:textId="7F1123FA" w:rsidR="00A50B67" w:rsidRDefault="00A50B67" w:rsidP="00A50B67">
      <w:pPr>
        <w:spacing w:line="480" w:lineRule="auto"/>
        <w:jc w:val="right"/>
      </w:pPr>
    </w:p>
    <w:p w14:paraId="39F9D70F" w14:textId="77777777" w:rsidR="00A50B67" w:rsidRDefault="00A50B67" w:rsidP="005F76BD"/>
    <w:sectPr w:rsidR="00A50B67" w:rsidSect="005F76BD">
      <w:headerReference w:type="even" r:id="rId13"/>
      <w:headerReference w:type="defaul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D4DF1B" w14:textId="77777777" w:rsidR="0027656F" w:rsidRDefault="0027656F" w:rsidP="005F76BD">
      <w:r>
        <w:separator/>
      </w:r>
    </w:p>
  </w:endnote>
  <w:endnote w:type="continuationSeparator" w:id="0">
    <w:p w14:paraId="2A1D8B3D" w14:textId="77777777" w:rsidR="0027656F" w:rsidRDefault="0027656F" w:rsidP="005F76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199726" w14:textId="77777777" w:rsidR="0027656F" w:rsidRDefault="0027656F" w:rsidP="005F76BD">
      <w:r>
        <w:separator/>
      </w:r>
    </w:p>
  </w:footnote>
  <w:footnote w:type="continuationSeparator" w:id="0">
    <w:p w14:paraId="29FFF1AB" w14:textId="77777777" w:rsidR="0027656F" w:rsidRDefault="0027656F" w:rsidP="005F76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03880057"/>
      <w:docPartObj>
        <w:docPartGallery w:val="Page Numbers (Top of Page)"/>
        <w:docPartUnique/>
      </w:docPartObj>
    </w:sdtPr>
    <w:sdtEndPr>
      <w:rPr>
        <w:rStyle w:val="PageNumber"/>
      </w:rPr>
    </w:sdtEndPr>
    <w:sdtContent>
      <w:p w14:paraId="2C8F8342" w14:textId="00436334" w:rsidR="005F76BD" w:rsidRDefault="005F76BD" w:rsidP="001C491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60C4726" w14:textId="77777777" w:rsidR="005F76BD" w:rsidRDefault="005F76BD" w:rsidP="005F76B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227381364"/>
      <w:docPartObj>
        <w:docPartGallery w:val="Page Numbers (Top of Page)"/>
        <w:docPartUnique/>
      </w:docPartObj>
    </w:sdtPr>
    <w:sdtEndPr>
      <w:rPr>
        <w:rStyle w:val="PageNumber"/>
      </w:rPr>
    </w:sdtEndPr>
    <w:sdtContent>
      <w:p w14:paraId="44EDD8F9" w14:textId="624AE37D" w:rsidR="005F76BD" w:rsidRPr="00463BB9" w:rsidRDefault="005F76BD" w:rsidP="001C4915">
        <w:pPr>
          <w:pStyle w:val="Header"/>
          <w:framePr w:wrap="none" w:vAnchor="text" w:hAnchor="margin" w:xAlign="right" w:y="1"/>
          <w:rPr>
            <w:rStyle w:val="PageNumber"/>
            <w:rFonts w:ascii="Times New Roman" w:hAnsi="Times New Roman" w:cs="Times New Roman"/>
          </w:rPr>
        </w:pPr>
        <w:r w:rsidRPr="00463BB9">
          <w:rPr>
            <w:rStyle w:val="PageNumber"/>
            <w:rFonts w:ascii="Times New Roman" w:hAnsi="Times New Roman" w:cs="Times New Roman"/>
          </w:rPr>
          <w:fldChar w:fldCharType="begin"/>
        </w:r>
        <w:r w:rsidRPr="00463BB9">
          <w:rPr>
            <w:rStyle w:val="PageNumber"/>
            <w:rFonts w:ascii="Times New Roman" w:hAnsi="Times New Roman" w:cs="Times New Roman"/>
          </w:rPr>
          <w:instrText xml:space="preserve"> PAGE </w:instrText>
        </w:r>
        <w:r w:rsidRPr="00463BB9">
          <w:rPr>
            <w:rStyle w:val="PageNumber"/>
            <w:rFonts w:ascii="Times New Roman" w:hAnsi="Times New Roman" w:cs="Times New Roman"/>
          </w:rPr>
          <w:fldChar w:fldCharType="separate"/>
        </w:r>
        <w:r w:rsidRPr="00463BB9">
          <w:rPr>
            <w:rStyle w:val="PageNumber"/>
            <w:rFonts w:ascii="Times New Roman" w:hAnsi="Times New Roman" w:cs="Times New Roman"/>
            <w:noProof/>
          </w:rPr>
          <w:t>1</w:t>
        </w:r>
        <w:r w:rsidRPr="00463BB9">
          <w:rPr>
            <w:rStyle w:val="PageNumber"/>
            <w:rFonts w:ascii="Times New Roman" w:hAnsi="Times New Roman" w:cs="Times New Roman"/>
          </w:rPr>
          <w:fldChar w:fldCharType="end"/>
        </w:r>
      </w:p>
    </w:sdtContent>
  </w:sdt>
  <w:p w14:paraId="5FE26C71" w14:textId="77777777" w:rsidR="005F76BD" w:rsidRDefault="005F76BD" w:rsidP="005F76BD">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B53F04"/>
    <w:multiLevelType w:val="hybridMultilevel"/>
    <w:tmpl w:val="6EBEFC18"/>
    <w:lvl w:ilvl="0" w:tplc="A87C09AE">
      <w:start w:val="1"/>
      <w:numFmt w:val="upperLetter"/>
      <w:lvlText w:val="%1."/>
      <w:lvlJc w:val="left"/>
      <w:pPr>
        <w:ind w:left="720" w:hanging="360"/>
      </w:pPr>
      <w:rPr>
        <w:rFonts w:ascii="Times New Roman" w:hAnsi="Times New Roman" w:cs="Times New Roman" w:hint="default"/>
        <w:b/>
        <w:bCs/>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03018E"/>
    <w:multiLevelType w:val="hybridMultilevel"/>
    <w:tmpl w:val="7EACF024"/>
    <w:lvl w:ilvl="0" w:tplc="364C5846">
      <w:start w:val="1"/>
      <w:numFmt w:val="upperLetter"/>
      <w:lvlText w:val="%1."/>
      <w:lvlJc w:val="left"/>
      <w:pPr>
        <w:ind w:left="720" w:hanging="360"/>
      </w:pPr>
      <w:rPr>
        <w:rFonts w:ascii="Times" w:hAnsi="Times" w:hint="default"/>
        <w:b/>
        <w:bCs/>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6BD"/>
    <w:rsid w:val="00030F43"/>
    <w:rsid w:val="001058B2"/>
    <w:rsid w:val="00156EFA"/>
    <w:rsid w:val="00173BC9"/>
    <w:rsid w:val="00196B1D"/>
    <w:rsid w:val="001C6689"/>
    <w:rsid w:val="001F3332"/>
    <w:rsid w:val="00261D3D"/>
    <w:rsid w:val="0027656F"/>
    <w:rsid w:val="00286CD4"/>
    <w:rsid w:val="002B0389"/>
    <w:rsid w:val="002E3251"/>
    <w:rsid w:val="0030172C"/>
    <w:rsid w:val="0030247B"/>
    <w:rsid w:val="00373DA4"/>
    <w:rsid w:val="0040106F"/>
    <w:rsid w:val="00455F6F"/>
    <w:rsid w:val="00463BB9"/>
    <w:rsid w:val="004A1190"/>
    <w:rsid w:val="005655FE"/>
    <w:rsid w:val="005F76BD"/>
    <w:rsid w:val="006516BF"/>
    <w:rsid w:val="00655776"/>
    <w:rsid w:val="006A29AC"/>
    <w:rsid w:val="00716988"/>
    <w:rsid w:val="0072228A"/>
    <w:rsid w:val="007A49CD"/>
    <w:rsid w:val="007C25F5"/>
    <w:rsid w:val="007C6EAE"/>
    <w:rsid w:val="008306E6"/>
    <w:rsid w:val="0083320E"/>
    <w:rsid w:val="00850FAC"/>
    <w:rsid w:val="008A75D9"/>
    <w:rsid w:val="008B3C76"/>
    <w:rsid w:val="008D262E"/>
    <w:rsid w:val="00904217"/>
    <w:rsid w:val="0090541E"/>
    <w:rsid w:val="00910310"/>
    <w:rsid w:val="0091704D"/>
    <w:rsid w:val="00937767"/>
    <w:rsid w:val="009466B0"/>
    <w:rsid w:val="00967EC3"/>
    <w:rsid w:val="00974E8D"/>
    <w:rsid w:val="00A177B5"/>
    <w:rsid w:val="00A2702C"/>
    <w:rsid w:val="00A50B67"/>
    <w:rsid w:val="00AD04F3"/>
    <w:rsid w:val="00BF6F77"/>
    <w:rsid w:val="00C015ED"/>
    <w:rsid w:val="00C23D50"/>
    <w:rsid w:val="00C63EDF"/>
    <w:rsid w:val="00C7547A"/>
    <w:rsid w:val="00CF1497"/>
    <w:rsid w:val="00CF2792"/>
    <w:rsid w:val="00D028E7"/>
    <w:rsid w:val="00D37CDD"/>
    <w:rsid w:val="00D94ED4"/>
    <w:rsid w:val="00DB2CE2"/>
    <w:rsid w:val="00E127B4"/>
    <w:rsid w:val="00E56748"/>
    <w:rsid w:val="00EC40B7"/>
    <w:rsid w:val="00ED6ECE"/>
    <w:rsid w:val="00F17F37"/>
    <w:rsid w:val="00F30989"/>
    <w:rsid w:val="00F4624C"/>
    <w:rsid w:val="00FA2879"/>
    <w:rsid w:val="00FA4A1C"/>
    <w:rsid w:val="00FB19AC"/>
    <w:rsid w:val="00FC6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1879F"/>
  <w15:chartTrackingRefBased/>
  <w15:docId w15:val="{611020D6-0BD7-334E-A202-C466877AF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B6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76BD"/>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5F76BD"/>
  </w:style>
  <w:style w:type="paragraph" w:styleId="Footer">
    <w:name w:val="footer"/>
    <w:basedOn w:val="Normal"/>
    <w:link w:val="FooterChar"/>
    <w:uiPriority w:val="99"/>
    <w:unhideWhenUsed/>
    <w:rsid w:val="005F76BD"/>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5F76BD"/>
  </w:style>
  <w:style w:type="character" w:styleId="PageNumber">
    <w:name w:val="page number"/>
    <w:basedOn w:val="DefaultParagraphFont"/>
    <w:uiPriority w:val="99"/>
    <w:semiHidden/>
    <w:unhideWhenUsed/>
    <w:rsid w:val="005F76BD"/>
  </w:style>
  <w:style w:type="paragraph" w:styleId="ListParagraph">
    <w:name w:val="List Paragraph"/>
    <w:basedOn w:val="Normal"/>
    <w:uiPriority w:val="34"/>
    <w:qFormat/>
    <w:rsid w:val="008A75D9"/>
    <w:pPr>
      <w:ind w:left="720"/>
      <w:contextualSpacing/>
    </w:pPr>
    <w:rPr>
      <w:rFonts w:asciiTheme="minorHAnsi" w:eastAsiaTheme="minorHAnsi" w:hAnsiTheme="minorHAnsi" w:cstheme="minorBidi"/>
    </w:rPr>
  </w:style>
  <w:style w:type="character" w:styleId="Hyperlink">
    <w:name w:val="Hyperlink"/>
    <w:basedOn w:val="DefaultParagraphFont"/>
    <w:uiPriority w:val="99"/>
    <w:semiHidden/>
    <w:unhideWhenUsed/>
    <w:rsid w:val="00A50B67"/>
    <w:rPr>
      <w:color w:val="0000FF"/>
      <w:u w:val="single"/>
    </w:rPr>
  </w:style>
  <w:style w:type="paragraph" w:styleId="NormalWeb">
    <w:name w:val="Normal (Web)"/>
    <w:basedOn w:val="Normal"/>
    <w:uiPriority w:val="99"/>
    <w:semiHidden/>
    <w:unhideWhenUsed/>
    <w:rsid w:val="00FC6681"/>
    <w:pPr>
      <w:spacing w:before="100" w:beforeAutospacing="1" w:after="100" w:afterAutospacing="1"/>
    </w:pPr>
  </w:style>
  <w:style w:type="paragraph" w:styleId="Bibliography">
    <w:name w:val="Bibliography"/>
    <w:basedOn w:val="Normal"/>
    <w:next w:val="Normal"/>
    <w:uiPriority w:val="37"/>
    <w:unhideWhenUsed/>
    <w:rsid w:val="00716988"/>
    <w:pPr>
      <w:tabs>
        <w:tab w:val="left" w:pos="380"/>
      </w:tabs>
      <w:spacing w:line="48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2930494">
      <w:bodyDiv w:val="1"/>
      <w:marLeft w:val="0"/>
      <w:marRight w:val="0"/>
      <w:marTop w:val="0"/>
      <w:marBottom w:val="0"/>
      <w:divBdr>
        <w:top w:val="none" w:sz="0" w:space="0" w:color="auto"/>
        <w:left w:val="none" w:sz="0" w:space="0" w:color="auto"/>
        <w:bottom w:val="none" w:sz="0" w:space="0" w:color="auto"/>
        <w:right w:val="none" w:sz="0" w:space="0" w:color="auto"/>
      </w:divBdr>
    </w:div>
    <w:div w:id="1232472334">
      <w:bodyDiv w:val="1"/>
      <w:marLeft w:val="0"/>
      <w:marRight w:val="0"/>
      <w:marTop w:val="0"/>
      <w:marBottom w:val="0"/>
      <w:divBdr>
        <w:top w:val="none" w:sz="0" w:space="0" w:color="auto"/>
        <w:left w:val="none" w:sz="0" w:space="0" w:color="auto"/>
        <w:bottom w:val="none" w:sz="0" w:space="0" w:color="auto"/>
        <w:right w:val="none" w:sz="0" w:space="0" w:color="auto"/>
      </w:divBdr>
      <w:divsChild>
        <w:div w:id="1257321267">
          <w:marLeft w:val="0"/>
          <w:marRight w:val="0"/>
          <w:marTop w:val="0"/>
          <w:marBottom w:val="0"/>
          <w:divBdr>
            <w:top w:val="none" w:sz="0" w:space="0" w:color="auto"/>
            <w:left w:val="none" w:sz="0" w:space="0" w:color="auto"/>
            <w:bottom w:val="none" w:sz="0" w:space="0" w:color="auto"/>
            <w:right w:val="none" w:sz="0" w:space="0" w:color="auto"/>
          </w:divBdr>
          <w:divsChild>
            <w:div w:id="535653567">
              <w:marLeft w:val="0"/>
              <w:marRight w:val="0"/>
              <w:marTop w:val="0"/>
              <w:marBottom w:val="0"/>
              <w:divBdr>
                <w:top w:val="none" w:sz="0" w:space="0" w:color="auto"/>
                <w:left w:val="none" w:sz="0" w:space="0" w:color="auto"/>
                <w:bottom w:val="none" w:sz="0" w:space="0" w:color="auto"/>
                <w:right w:val="none" w:sz="0" w:space="0" w:color="auto"/>
              </w:divBdr>
              <w:divsChild>
                <w:div w:id="1154374833">
                  <w:marLeft w:val="360"/>
                  <w:marRight w:val="96"/>
                  <w:marTop w:val="0"/>
                  <w:marBottom w:val="0"/>
                  <w:divBdr>
                    <w:top w:val="none" w:sz="0" w:space="0" w:color="auto"/>
                    <w:left w:val="none" w:sz="0" w:space="0" w:color="auto"/>
                    <w:bottom w:val="none" w:sz="0" w:space="0" w:color="auto"/>
                    <w:right w:val="none" w:sz="0" w:space="0" w:color="auto"/>
                  </w:divBdr>
                </w:div>
              </w:divsChild>
            </w:div>
            <w:div w:id="780490425">
              <w:marLeft w:val="0"/>
              <w:marRight w:val="0"/>
              <w:marTop w:val="0"/>
              <w:marBottom w:val="0"/>
              <w:divBdr>
                <w:top w:val="none" w:sz="0" w:space="0" w:color="auto"/>
                <w:left w:val="none" w:sz="0" w:space="0" w:color="auto"/>
                <w:bottom w:val="none" w:sz="0" w:space="0" w:color="auto"/>
                <w:right w:val="none" w:sz="0" w:space="0" w:color="auto"/>
              </w:divBdr>
              <w:divsChild>
                <w:div w:id="179584549">
                  <w:marLeft w:val="360"/>
                  <w:marRight w:val="96"/>
                  <w:marTop w:val="0"/>
                  <w:marBottom w:val="0"/>
                  <w:divBdr>
                    <w:top w:val="none" w:sz="0" w:space="0" w:color="auto"/>
                    <w:left w:val="none" w:sz="0" w:space="0" w:color="auto"/>
                    <w:bottom w:val="none" w:sz="0" w:space="0" w:color="auto"/>
                    <w:right w:val="none" w:sz="0" w:space="0" w:color="auto"/>
                  </w:divBdr>
                </w:div>
              </w:divsChild>
            </w:div>
            <w:div w:id="335427897">
              <w:marLeft w:val="0"/>
              <w:marRight w:val="0"/>
              <w:marTop w:val="0"/>
              <w:marBottom w:val="0"/>
              <w:divBdr>
                <w:top w:val="none" w:sz="0" w:space="0" w:color="auto"/>
                <w:left w:val="none" w:sz="0" w:space="0" w:color="auto"/>
                <w:bottom w:val="none" w:sz="0" w:space="0" w:color="auto"/>
                <w:right w:val="none" w:sz="0" w:space="0" w:color="auto"/>
              </w:divBdr>
              <w:divsChild>
                <w:div w:id="399913821">
                  <w:marLeft w:val="360"/>
                  <w:marRight w:val="96"/>
                  <w:marTop w:val="0"/>
                  <w:marBottom w:val="0"/>
                  <w:divBdr>
                    <w:top w:val="none" w:sz="0" w:space="0" w:color="auto"/>
                    <w:left w:val="none" w:sz="0" w:space="0" w:color="auto"/>
                    <w:bottom w:val="none" w:sz="0" w:space="0" w:color="auto"/>
                    <w:right w:val="none" w:sz="0" w:space="0" w:color="auto"/>
                  </w:divBdr>
                </w:div>
              </w:divsChild>
            </w:div>
            <w:div w:id="1281843885">
              <w:marLeft w:val="0"/>
              <w:marRight w:val="0"/>
              <w:marTop w:val="0"/>
              <w:marBottom w:val="0"/>
              <w:divBdr>
                <w:top w:val="none" w:sz="0" w:space="0" w:color="auto"/>
                <w:left w:val="none" w:sz="0" w:space="0" w:color="auto"/>
                <w:bottom w:val="none" w:sz="0" w:space="0" w:color="auto"/>
                <w:right w:val="none" w:sz="0" w:space="0" w:color="auto"/>
              </w:divBdr>
              <w:divsChild>
                <w:div w:id="1515147442">
                  <w:marLeft w:val="360"/>
                  <w:marRight w:val="96"/>
                  <w:marTop w:val="0"/>
                  <w:marBottom w:val="0"/>
                  <w:divBdr>
                    <w:top w:val="none" w:sz="0" w:space="0" w:color="auto"/>
                    <w:left w:val="none" w:sz="0" w:space="0" w:color="auto"/>
                    <w:bottom w:val="none" w:sz="0" w:space="0" w:color="auto"/>
                    <w:right w:val="none" w:sz="0" w:space="0" w:color="auto"/>
                  </w:divBdr>
                </w:div>
              </w:divsChild>
            </w:div>
            <w:div w:id="1898079002">
              <w:marLeft w:val="0"/>
              <w:marRight w:val="0"/>
              <w:marTop w:val="0"/>
              <w:marBottom w:val="0"/>
              <w:divBdr>
                <w:top w:val="none" w:sz="0" w:space="0" w:color="auto"/>
                <w:left w:val="none" w:sz="0" w:space="0" w:color="auto"/>
                <w:bottom w:val="none" w:sz="0" w:space="0" w:color="auto"/>
                <w:right w:val="none" w:sz="0" w:space="0" w:color="auto"/>
              </w:divBdr>
              <w:divsChild>
                <w:div w:id="1058746748">
                  <w:marLeft w:val="360"/>
                  <w:marRight w:val="96"/>
                  <w:marTop w:val="0"/>
                  <w:marBottom w:val="0"/>
                  <w:divBdr>
                    <w:top w:val="none" w:sz="0" w:space="0" w:color="auto"/>
                    <w:left w:val="none" w:sz="0" w:space="0" w:color="auto"/>
                    <w:bottom w:val="none" w:sz="0" w:space="0" w:color="auto"/>
                    <w:right w:val="none" w:sz="0" w:space="0" w:color="auto"/>
                  </w:divBdr>
                </w:div>
              </w:divsChild>
            </w:div>
            <w:div w:id="1684356806">
              <w:marLeft w:val="0"/>
              <w:marRight w:val="0"/>
              <w:marTop w:val="0"/>
              <w:marBottom w:val="0"/>
              <w:divBdr>
                <w:top w:val="none" w:sz="0" w:space="0" w:color="auto"/>
                <w:left w:val="none" w:sz="0" w:space="0" w:color="auto"/>
                <w:bottom w:val="none" w:sz="0" w:space="0" w:color="auto"/>
                <w:right w:val="none" w:sz="0" w:space="0" w:color="auto"/>
              </w:divBdr>
              <w:divsChild>
                <w:div w:id="275868749">
                  <w:marLeft w:val="360"/>
                  <w:marRight w:val="96"/>
                  <w:marTop w:val="0"/>
                  <w:marBottom w:val="0"/>
                  <w:divBdr>
                    <w:top w:val="none" w:sz="0" w:space="0" w:color="auto"/>
                    <w:left w:val="none" w:sz="0" w:space="0" w:color="auto"/>
                    <w:bottom w:val="none" w:sz="0" w:space="0" w:color="auto"/>
                    <w:right w:val="none" w:sz="0" w:space="0" w:color="auto"/>
                  </w:divBdr>
                </w:div>
              </w:divsChild>
            </w:div>
            <w:div w:id="78527636">
              <w:marLeft w:val="0"/>
              <w:marRight w:val="0"/>
              <w:marTop w:val="0"/>
              <w:marBottom w:val="0"/>
              <w:divBdr>
                <w:top w:val="none" w:sz="0" w:space="0" w:color="auto"/>
                <w:left w:val="none" w:sz="0" w:space="0" w:color="auto"/>
                <w:bottom w:val="none" w:sz="0" w:space="0" w:color="auto"/>
                <w:right w:val="none" w:sz="0" w:space="0" w:color="auto"/>
              </w:divBdr>
              <w:divsChild>
                <w:div w:id="1486555500">
                  <w:marLeft w:val="360"/>
                  <w:marRight w:val="96"/>
                  <w:marTop w:val="0"/>
                  <w:marBottom w:val="0"/>
                  <w:divBdr>
                    <w:top w:val="none" w:sz="0" w:space="0" w:color="auto"/>
                    <w:left w:val="none" w:sz="0" w:space="0" w:color="auto"/>
                    <w:bottom w:val="none" w:sz="0" w:space="0" w:color="auto"/>
                    <w:right w:val="none" w:sz="0" w:space="0" w:color="auto"/>
                  </w:divBdr>
                </w:div>
              </w:divsChild>
            </w:div>
            <w:div w:id="2011634274">
              <w:marLeft w:val="0"/>
              <w:marRight w:val="0"/>
              <w:marTop w:val="0"/>
              <w:marBottom w:val="0"/>
              <w:divBdr>
                <w:top w:val="none" w:sz="0" w:space="0" w:color="auto"/>
                <w:left w:val="none" w:sz="0" w:space="0" w:color="auto"/>
                <w:bottom w:val="none" w:sz="0" w:space="0" w:color="auto"/>
                <w:right w:val="none" w:sz="0" w:space="0" w:color="auto"/>
              </w:divBdr>
              <w:divsChild>
                <w:div w:id="111901481">
                  <w:marLeft w:val="360"/>
                  <w:marRight w:val="96"/>
                  <w:marTop w:val="0"/>
                  <w:marBottom w:val="0"/>
                  <w:divBdr>
                    <w:top w:val="none" w:sz="0" w:space="0" w:color="auto"/>
                    <w:left w:val="none" w:sz="0" w:space="0" w:color="auto"/>
                    <w:bottom w:val="none" w:sz="0" w:space="0" w:color="auto"/>
                    <w:right w:val="none" w:sz="0" w:space="0" w:color="auto"/>
                  </w:divBdr>
                </w:div>
              </w:divsChild>
            </w:div>
            <w:div w:id="1308121048">
              <w:marLeft w:val="0"/>
              <w:marRight w:val="0"/>
              <w:marTop w:val="0"/>
              <w:marBottom w:val="0"/>
              <w:divBdr>
                <w:top w:val="none" w:sz="0" w:space="0" w:color="auto"/>
                <w:left w:val="none" w:sz="0" w:space="0" w:color="auto"/>
                <w:bottom w:val="none" w:sz="0" w:space="0" w:color="auto"/>
                <w:right w:val="none" w:sz="0" w:space="0" w:color="auto"/>
              </w:divBdr>
              <w:divsChild>
                <w:div w:id="890729819">
                  <w:marLeft w:val="360"/>
                  <w:marRight w:val="96"/>
                  <w:marTop w:val="0"/>
                  <w:marBottom w:val="0"/>
                  <w:divBdr>
                    <w:top w:val="none" w:sz="0" w:space="0" w:color="auto"/>
                    <w:left w:val="none" w:sz="0" w:space="0" w:color="auto"/>
                    <w:bottom w:val="none" w:sz="0" w:space="0" w:color="auto"/>
                    <w:right w:val="none" w:sz="0" w:space="0" w:color="auto"/>
                  </w:divBdr>
                </w:div>
              </w:divsChild>
            </w:div>
            <w:div w:id="346490336">
              <w:marLeft w:val="0"/>
              <w:marRight w:val="0"/>
              <w:marTop w:val="0"/>
              <w:marBottom w:val="0"/>
              <w:divBdr>
                <w:top w:val="none" w:sz="0" w:space="0" w:color="auto"/>
                <w:left w:val="none" w:sz="0" w:space="0" w:color="auto"/>
                <w:bottom w:val="none" w:sz="0" w:space="0" w:color="auto"/>
                <w:right w:val="none" w:sz="0" w:space="0" w:color="auto"/>
              </w:divBdr>
              <w:divsChild>
                <w:div w:id="679353707">
                  <w:marLeft w:val="360"/>
                  <w:marRight w:val="96"/>
                  <w:marTop w:val="0"/>
                  <w:marBottom w:val="0"/>
                  <w:divBdr>
                    <w:top w:val="none" w:sz="0" w:space="0" w:color="auto"/>
                    <w:left w:val="none" w:sz="0" w:space="0" w:color="auto"/>
                    <w:bottom w:val="none" w:sz="0" w:space="0" w:color="auto"/>
                    <w:right w:val="none" w:sz="0" w:space="0" w:color="auto"/>
                  </w:divBdr>
                </w:div>
              </w:divsChild>
            </w:div>
            <w:div w:id="202906490">
              <w:marLeft w:val="0"/>
              <w:marRight w:val="0"/>
              <w:marTop w:val="0"/>
              <w:marBottom w:val="0"/>
              <w:divBdr>
                <w:top w:val="none" w:sz="0" w:space="0" w:color="auto"/>
                <w:left w:val="none" w:sz="0" w:space="0" w:color="auto"/>
                <w:bottom w:val="none" w:sz="0" w:space="0" w:color="auto"/>
                <w:right w:val="none" w:sz="0" w:space="0" w:color="auto"/>
              </w:divBdr>
              <w:divsChild>
                <w:div w:id="1718160318">
                  <w:marLeft w:val="360"/>
                  <w:marRight w:val="96"/>
                  <w:marTop w:val="0"/>
                  <w:marBottom w:val="0"/>
                  <w:divBdr>
                    <w:top w:val="none" w:sz="0" w:space="0" w:color="auto"/>
                    <w:left w:val="none" w:sz="0" w:space="0" w:color="auto"/>
                    <w:bottom w:val="none" w:sz="0" w:space="0" w:color="auto"/>
                    <w:right w:val="none" w:sz="0" w:space="0" w:color="auto"/>
                  </w:divBdr>
                </w:div>
              </w:divsChild>
            </w:div>
            <w:div w:id="604113288">
              <w:marLeft w:val="0"/>
              <w:marRight w:val="0"/>
              <w:marTop w:val="0"/>
              <w:marBottom w:val="0"/>
              <w:divBdr>
                <w:top w:val="none" w:sz="0" w:space="0" w:color="auto"/>
                <w:left w:val="none" w:sz="0" w:space="0" w:color="auto"/>
                <w:bottom w:val="none" w:sz="0" w:space="0" w:color="auto"/>
                <w:right w:val="none" w:sz="0" w:space="0" w:color="auto"/>
              </w:divBdr>
              <w:divsChild>
                <w:div w:id="564995025">
                  <w:marLeft w:val="360"/>
                  <w:marRight w:val="96"/>
                  <w:marTop w:val="0"/>
                  <w:marBottom w:val="0"/>
                  <w:divBdr>
                    <w:top w:val="none" w:sz="0" w:space="0" w:color="auto"/>
                    <w:left w:val="none" w:sz="0" w:space="0" w:color="auto"/>
                    <w:bottom w:val="none" w:sz="0" w:space="0" w:color="auto"/>
                    <w:right w:val="none" w:sz="0" w:space="0" w:color="auto"/>
                  </w:divBdr>
                </w:div>
              </w:divsChild>
            </w:div>
            <w:div w:id="1824080341">
              <w:marLeft w:val="0"/>
              <w:marRight w:val="0"/>
              <w:marTop w:val="0"/>
              <w:marBottom w:val="0"/>
              <w:divBdr>
                <w:top w:val="none" w:sz="0" w:space="0" w:color="auto"/>
                <w:left w:val="none" w:sz="0" w:space="0" w:color="auto"/>
                <w:bottom w:val="none" w:sz="0" w:space="0" w:color="auto"/>
                <w:right w:val="none" w:sz="0" w:space="0" w:color="auto"/>
              </w:divBdr>
              <w:divsChild>
                <w:div w:id="976639562">
                  <w:marLeft w:val="360"/>
                  <w:marRight w:val="96"/>
                  <w:marTop w:val="0"/>
                  <w:marBottom w:val="0"/>
                  <w:divBdr>
                    <w:top w:val="none" w:sz="0" w:space="0" w:color="auto"/>
                    <w:left w:val="none" w:sz="0" w:space="0" w:color="auto"/>
                    <w:bottom w:val="none" w:sz="0" w:space="0" w:color="auto"/>
                    <w:right w:val="none" w:sz="0" w:space="0" w:color="auto"/>
                  </w:divBdr>
                </w:div>
              </w:divsChild>
            </w:div>
            <w:div w:id="1289631192">
              <w:marLeft w:val="0"/>
              <w:marRight w:val="0"/>
              <w:marTop w:val="0"/>
              <w:marBottom w:val="0"/>
              <w:divBdr>
                <w:top w:val="none" w:sz="0" w:space="0" w:color="auto"/>
                <w:left w:val="none" w:sz="0" w:space="0" w:color="auto"/>
                <w:bottom w:val="none" w:sz="0" w:space="0" w:color="auto"/>
                <w:right w:val="none" w:sz="0" w:space="0" w:color="auto"/>
              </w:divBdr>
              <w:divsChild>
                <w:div w:id="771780354">
                  <w:marLeft w:val="360"/>
                  <w:marRight w:val="96"/>
                  <w:marTop w:val="0"/>
                  <w:marBottom w:val="0"/>
                  <w:divBdr>
                    <w:top w:val="none" w:sz="0" w:space="0" w:color="auto"/>
                    <w:left w:val="none" w:sz="0" w:space="0" w:color="auto"/>
                    <w:bottom w:val="none" w:sz="0" w:space="0" w:color="auto"/>
                    <w:right w:val="none" w:sz="0" w:space="0" w:color="auto"/>
                  </w:divBdr>
                </w:div>
              </w:divsChild>
            </w:div>
            <w:div w:id="74715787">
              <w:marLeft w:val="0"/>
              <w:marRight w:val="0"/>
              <w:marTop w:val="0"/>
              <w:marBottom w:val="0"/>
              <w:divBdr>
                <w:top w:val="none" w:sz="0" w:space="0" w:color="auto"/>
                <w:left w:val="none" w:sz="0" w:space="0" w:color="auto"/>
                <w:bottom w:val="none" w:sz="0" w:space="0" w:color="auto"/>
                <w:right w:val="none" w:sz="0" w:space="0" w:color="auto"/>
              </w:divBdr>
              <w:divsChild>
                <w:div w:id="1247424962">
                  <w:marLeft w:val="360"/>
                  <w:marRight w:val="96"/>
                  <w:marTop w:val="0"/>
                  <w:marBottom w:val="0"/>
                  <w:divBdr>
                    <w:top w:val="none" w:sz="0" w:space="0" w:color="auto"/>
                    <w:left w:val="none" w:sz="0" w:space="0" w:color="auto"/>
                    <w:bottom w:val="none" w:sz="0" w:space="0" w:color="auto"/>
                    <w:right w:val="none" w:sz="0" w:space="0" w:color="auto"/>
                  </w:divBdr>
                </w:div>
              </w:divsChild>
            </w:div>
            <w:div w:id="386296829">
              <w:marLeft w:val="0"/>
              <w:marRight w:val="0"/>
              <w:marTop w:val="0"/>
              <w:marBottom w:val="0"/>
              <w:divBdr>
                <w:top w:val="none" w:sz="0" w:space="0" w:color="auto"/>
                <w:left w:val="none" w:sz="0" w:space="0" w:color="auto"/>
                <w:bottom w:val="none" w:sz="0" w:space="0" w:color="auto"/>
                <w:right w:val="none" w:sz="0" w:space="0" w:color="auto"/>
              </w:divBdr>
              <w:divsChild>
                <w:div w:id="1867518577">
                  <w:marLeft w:val="360"/>
                  <w:marRight w:val="96"/>
                  <w:marTop w:val="0"/>
                  <w:marBottom w:val="0"/>
                  <w:divBdr>
                    <w:top w:val="none" w:sz="0" w:space="0" w:color="auto"/>
                    <w:left w:val="none" w:sz="0" w:space="0" w:color="auto"/>
                    <w:bottom w:val="none" w:sz="0" w:space="0" w:color="auto"/>
                    <w:right w:val="none" w:sz="0" w:space="0" w:color="auto"/>
                  </w:divBdr>
                </w:div>
              </w:divsChild>
            </w:div>
            <w:div w:id="661853583">
              <w:marLeft w:val="0"/>
              <w:marRight w:val="0"/>
              <w:marTop w:val="0"/>
              <w:marBottom w:val="0"/>
              <w:divBdr>
                <w:top w:val="none" w:sz="0" w:space="0" w:color="auto"/>
                <w:left w:val="none" w:sz="0" w:space="0" w:color="auto"/>
                <w:bottom w:val="none" w:sz="0" w:space="0" w:color="auto"/>
                <w:right w:val="none" w:sz="0" w:space="0" w:color="auto"/>
              </w:divBdr>
              <w:divsChild>
                <w:div w:id="2069182385">
                  <w:marLeft w:val="360"/>
                  <w:marRight w:val="96"/>
                  <w:marTop w:val="0"/>
                  <w:marBottom w:val="0"/>
                  <w:divBdr>
                    <w:top w:val="none" w:sz="0" w:space="0" w:color="auto"/>
                    <w:left w:val="none" w:sz="0" w:space="0" w:color="auto"/>
                    <w:bottom w:val="none" w:sz="0" w:space="0" w:color="auto"/>
                    <w:right w:val="none" w:sz="0" w:space="0" w:color="auto"/>
                  </w:divBdr>
                </w:div>
              </w:divsChild>
            </w:div>
            <w:div w:id="906502313">
              <w:marLeft w:val="0"/>
              <w:marRight w:val="0"/>
              <w:marTop w:val="0"/>
              <w:marBottom w:val="0"/>
              <w:divBdr>
                <w:top w:val="none" w:sz="0" w:space="0" w:color="auto"/>
                <w:left w:val="none" w:sz="0" w:space="0" w:color="auto"/>
                <w:bottom w:val="none" w:sz="0" w:space="0" w:color="auto"/>
                <w:right w:val="none" w:sz="0" w:space="0" w:color="auto"/>
              </w:divBdr>
              <w:divsChild>
                <w:div w:id="493910086">
                  <w:marLeft w:val="360"/>
                  <w:marRight w:val="96"/>
                  <w:marTop w:val="0"/>
                  <w:marBottom w:val="0"/>
                  <w:divBdr>
                    <w:top w:val="none" w:sz="0" w:space="0" w:color="auto"/>
                    <w:left w:val="none" w:sz="0" w:space="0" w:color="auto"/>
                    <w:bottom w:val="none" w:sz="0" w:space="0" w:color="auto"/>
                    <w:right w:val="none" w:sz="0" w:space="0" w:color="auto"/>
                  </w:divBdr>
                </w:div>
              </w:divsChild>
            </w:div>
            <w:div w:id="1272473962">
              <w:marLeft w:val="0"/>
              <w:marRight w:val="0"/>
              <w:marTop w:val="0"/>
              <w:marBottom w:val="0"/>
              <w:divBdr>
                <w:top w:val="none" w:sz="0" w:space="0" w:color="auto"/>
                <w:left w:val="none" w:sz="0" w:space="0" w:color="auto"/>
                <w:bottom w:val="none" w:sz="0" w:space="0" w:color="auto"/>
                <w:right w:val="none" w:sz="0" w:space="0" w:color="auto"/>
              </w:divBdr>
              <w:divsChild>
                <w:div w:id="2134057635">
                  <w:marLeft w:val="360"/>
                  <w:marRight w:val="96"/>
                  <w:marTop w:val="0"/>
                  <w:marBottom w:val="0"/>
                  <w:divBdr>
                    <w:top w:val="none" w:sz="0" w:space="0" w:color="auto"/>
                    <w:left w:val="none" w:sz="0" w:space="0" w:color="auto"/>
                    <w:bottom w:val="none" w:sz="0" w:space="0" w:color="auto"/>
                    <w:right w:val="none" w:sz="0" w:space="0" w:color="auto"/>
                  </w:divBdr>
                </w:div>
              </w:divsChild>
            </w:div>
            <w:div w:id="50271002">
              <w:marLeft w:val="0"/>
              <w:marRight w:val="0"/>
              <w:marTop w:val="0"/>
              <w:marBottom w:val="0"/>
              <w:divBdr>
                <w:top w:val="none" w:sz="0" w:space="0" w:color="auto"/>
                <w:left w:val="none" w:sz="0" w:space="0" w:color="auto"/>
                <w:bottom w:val="none" w:sz="0" w:space="0" w:color="auto"/>
                <w:right w:val="none" w:sz="0" w:space="0" w:color="auto"/>
              </w:divBdr>
              <w:divsChild>
                <w:div w:id="821851925">
                  <w:marLeft w:val="360"/>
                  <w:marRight w:val="96"/>
                  <w:marTop w:val="0"/>
                  <w:marBottom w:val="0"/>
                  <w:divBdr>
                    <w:top w:val="none" w:sz="0" w:space="0" w:color="auto"/>
                    <w:left w:val="none" w:sz="0" w:space="0" w:color="auto"/>
                    <w:bottom w:val="none" w:sz="0" w:space="0" w:color="auto"/>
                    <w:right w:val="none" w:sz="0" w:space="0" w:color="auto"/>
                  </w:divBdr>
                </w:div>
              </w:divsChild>
            </w:div>
            <w:div w:id="2137789406">
              <w:marLeft w:val="0"/>
              <w:marRight w:val="0"/>
              <w:marTop w:val="0"/>
              <w:marBottom w:val="0"/>
              <w:divBdr>
                <w:top w:val="none" w:sz="0" w:space="0" w:color="auto"/>
                <w:left w:val="none" w:sz="0" w:space="0" w:color="auto"/>
                <w:bottom w:val="none" w:sz="0" w:space="0" w:color="auto"/>
                <w:right w:val="none" w:sz="0" w:space="0" w:color="auto"/>
              </w:divBdr>
              <w:divsChild>
                <w:div w:id="156926291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33464559">
      <w:bodyDiv w:val="1"/>
      <w:marLeft w:val="0"/>
      <w:marRight w:val="0"/>
      <w:marTop w:val="0"/>
      <w:marBottom w:val="0"/>
      <w:divBdr>
        <w:top w:val="none" w:sz="0" w:space="0" w:color="auto"/>
        <w:left w:val="none" w:sz="0" w:space="0" w:color="auto"/>
        <w:bottom w:val="none" w:sz="0" w:space="0" w:color="auto"/>
        <w:right w:val="none" w:sz="0" w:space="0" w:color="auto"/>
      </w:divBdr>
      <w:divsChild>
        <w:div w:id="144861720">
          <w:marLeft w:val="0"/>
          <w:marRight w:val="0"/>
          <w:marTop w:val="0"/>
          <w:marBottom w:val="0"/>
          <w:divBdr>
            <w:top w:val="none" w:sz="0" w:space="0" w:color="auto"/>
            <w:left w:val="none" w:sz="0" w:space="0" w:color="auto"/>
            <w:bottom w:val="none" w:sz="0" w:space="0" w:color="auto"/>
            <w:right w:val="none" w:sz="0" w:space="0" w:color="auto"/>
          </w:divBdr>
          <w:divsChild>
            <w:div w:id="1795440242">
              <w:marLeft w:val="0"/>
              <w:marRight w:val="0"/>
              <w:marTop w:val="0"/>
              <w:marBottom w:val="0"/>
              <w:divBdr>
                <w:top w:val="none" w:sz="0" w:space="0" w:color="auto"/>
                <w:left w:val="none" w:sz="0" w:space="0" w:color="auto"/>
                <w:bottom w:val="none" w:sz="0" w:space="0" w:color="auto"/>
                <w:right w:val="none" w:sz="0" w:space="0" w:color="auto"/>
              </w:divBdr>
              <w:divsChild>
                <w:div w:id="1783762824">
                  <w:marLeft w:val="360"/>
                  <w:marRight w:val="96"/>
                  <w:marTop w:val="0"/>
                  <w:marBottom w:val="0"/>
                  <w:divBdr>
                    <w:top w:val="none" w:sz="0" w:space="0" w:color="auto"/>
                    <w:left w:val="none" w:sz="0" w:space="0" w:color="auto"/>
                    <w:bottom w:val="none" w:sz="0" w:space="0" w:color="auto"/>
                    <w:right w:val="none" w:sz="0" w:space="0" w:color="auto"/>
                  </w:divBdr>
                </w:div>
              </w:divsChild>
            </w:div>
            <w:div w:id="336350232">
              <w:marLeft w:val="0"/>
              <w:marRight w:val="0"/>
              <w:marTop w:val="0"/>
              <w:marBottom w:val="0"/>
              <w:divBdr>
                <w:top w:val="none" w:sz="0" w:space="0" w:color="auto"/>
                <w:left w:val="none" w:sz="0" w:space="0" w:color="auto"/>
                <w:bottom w:val="none" w:sz="0" w:space="0" w:color="auto"/>
                <w:right w:val="none" w:sz="0" w:space="0" w:color="auto"/>
              </w:divBdr>
              <w:divsChild>
                <w:div w:id="760953313">
                  <w:marLeft w:val="360"/>
                  <w:marRight w:val="96"/>
                  <w:marTop w:val="0"/>
                  <w:marBottom w:val="0"/>
                  <w:divBdr>
                    <w:top w:val="none" w:sz="0" w:space="0" w:color="auto"/>
                    <w:left w:val="none" w:sz="0" w:space="0" w:color="auto"/>
                    <w:bottom w:val="none" w:sz="0" w:space="0" w:color="auto"/>
                    <w:right w:val="none" w:sz="0" w:space="0" w:color="auto"/>
                  </w:divBdr>
                </w:div>
              </w:divsChild>
            </w:div>
            <w:div w:id="2121294529">
              <w:marLeft w:val="0"/>
              <w:marRight w:val="0"/>
              <w:marTop w:val="0"/>
              <w:marBottom w:val="0"/>
              <w:divBdr>
                <w:top w:val="none" w:sz="0" w:space="0" w:color="auto"/>
                <w:left w:val="none" w:sz="0" w:space="0" w:color="auto"/>
                <w:bottom w:val="none" w:sz="0" w:space="0" w:color="auto"/>
                <w:right w:val="none" w:sz="0" w:space="0" w:color="auto"/>
              </w:divBdr>
              <w:divsChild>
                <w:div w:id="1318414146">
                  <w:marLeft w:val="360"/>
                  <w:marRight w:val="96"/>
                  <w:marTop w:val="0"/>
                  <w:marBottom w:val="0"/>
                  <w:divBdr>
                    <w:top w:val="none" w:sz="0" w:space="0" w:color="auto"/>
                    <w:left w:val="none" w:sz="0" w:space="0" w:color="auto"/>
                    <w:bottom w:val="none" w:sz="0" w:space="0" w:color="auto"/>
                    <w:right w:val="none" w:sz="0" w:space="0" w:color="auto"/>
                  </w:divBdr>
                </w:div>
              </w:divsChild>
            </w:div>
            <w:div w:id="1543202222">
              <w:marLeft w:val="0"/>
              <w:marRight w:val="0"/>
              <w:marTop w:val="0"/>
              <w:marBottom w:val="0"/>
              <w:divBdr>
                <w:top w:val="none" w:sz="0" w:space="0" w:color="auto"/>
                <w:left w:val="none" w:sz="0" w:space="0" w:color="auto"/>
                <w:bottom w:val="none" w:sz="0" w:space="0" w:color="auto"/>
                <w:right w:val="none" w:sz="0" w:space="0" w:color="auto"/>
              </w:divBdr>
              <w:divsChild>
                <w:div w:id="699356552">
                  <w:marLeft w:val="360"/>
                  <w:marRight w:val="96"/>
                  <w:marTop w:val="0"/>
                  <w:marBottom w:val="0"/>
                  <w:divBdr>
                    <w:top w:val="none" w:sz="0" w:space="0" w:color="auto"/>
                    <w:left w:val="none" w:sz="0" w:space="0" w:color="auto"/>
                    <w:bottom w:val="none" w:sz="0" w:space="0" w:color="auto"/>
                    <w:right w:val="none" w:sz="0" w:space="0" w:color="auto"/>
                  </w:divBdr>
                </w:div>
              </w:divsChild>
            </w:div>
            <w:div w:id="443694534">
              <w:marLeft w:val="0"/>
              <w:marRight w:val="0"/>
              <w:marTop w:val="0"/>
              <w:marBottom w:val="0"/>
              <w:divBdr>
                <w:top w:val="none" w:sz="0" w:space="0" w:color="auto"/>
                <w:left w:val="none" w:sz="0" w:space="0" w:color="auto"/>
                <w:bottom w:val="none" w:sz="0" w:space="0" w:color="auto"/>
                <w:right w:val="none" w:sz="0" w:space="0" w:color="auto"/>
              </w:divBdr>
              <w:divsChild>
                <w:div w:id="1867988707">
                  <w:marLeft w:val="360"/>
                  <w:marRight w:val="96"/>
                  <w:marTop w:val="0"/>
                  <w:marBottom w:val="0"/>
                  <w:divBdr>
                    <w:top w:val="none" w:sz="0" w:space="0" w:color="auto"/>
                    <w:left w:val="none" w:sz="0" w:space="0" w:color="auto"/>
                    <w:bottom w:val="none" w:sz="0" w:space="0" w:color="auto"/>
                    <w:right w:val="none" w:sz="0" w:space="0" w:color="auto"/>
                  </w:divBdr>
                </w:div>
              </w:divsChild>
            </w:div>
            <w:div w:id="853492826">
              <w:marLeft w:val="0"/>
              <w:marRight w:val="0"/>
              <w:marTop w:val="0"/>
              <w:marBottom w:val="0"/>
              <w:divBdr>
                <w:top w:val="none" w:sz="0" w:space="0" w:color="auto"/>
                <w:left w:val="none" w:sz="0" w:space="0" w:color="auto"/>
                <w:bottom w:val="none" w:sz="0" w:space="0" w:color="auto"/>
                <w:right w:val="none" w:sz="0" w:space="0" w:color="auto"/>
              </w:divBdr>
              <w:divsChild>
                <w:div w:id="1785341959">
                  <w:marLeft w:val="360"/>
                  <w:marRight w:val="96"/>
                  <w:marTop w:val="0"/>
                  <w:marBottom w:val="0"/>
                  <w:divBdr>
                    <w:top w:val="none" w:sz="0" w:space="0" w:color="auto"/>
                    <w:left w:val="none" w:sz="0" w:space="0" w:color="auto"/>
                    <w:bottom w:val="none" w:sz="0" w:space="0" w:color="auto"/>
                    <w:right w:val="none" w:sz="0" w:space="0" w:color="auto"/>
                  </w:divBdr>
                </w:div>
              </w:divsChild>
            </w:div>
            <w:div w:id="1100838890">
              <w:marLeft w:val="0"/>
              <w:marRight w:val="0"/>
              <w:marTop w:val="0"/>
              <w:marBottom w:val="0"/>
              <w:divBdr>
                <w:top w:val="none" w:sz="0" w:space="0" w:color="auto"/>
                <w:left w:val="none" w:sz="0" w:space="0" w:color="auto"/>
                <w:bottom w:val="none" w:sz="0" w:space="0" w:color="auto"/>
                <w:right w:val="none" w:sz="0" w:space="0" w:color="auto"/>
              </w:divBdr>
              <w:divsChild>
                <w:div w:id="1328703867">
                  <w:marLeft w:val="360"/>
                  <w:marRight w:val="96"/>
                  <w:marTop w:val="0"/>
                  <w:marBottom w:val="0"/>
                  <w:divBdr>
                    <w:top w:val="none" w:sz="0" w:space="0" w:color="auto"/>
                    <w:left w:val="none" w:sz="0" w:space="0" w:color="auto"/>
                    <w:bottom w:val="none" w:sz="0" w:space="0" w:color="auto"/>
                    <w:right w:val="none" w:sz="0" w:space="0" w:color="auto"/>
                  </w:divBdr>
                </w:div>
              </w:divsChild>
            </w:div>
            <w:div w:id="2069108916">
              <w:marLeft w:val="0"/>
              <w:marRight w:val="0"/>
              <w:marTop w:val="0"/>
              <w:marBottom w:val="0"/>
              <w:divBdr>
                <w:top w:val="none" w:sz="0" w:space="0" w:color="auto"/>
                <w:left w:val="none" w:sz="0" w:space="0" w:color="auto"/>
                <w:bottom w:val="none" w:sz="0" w:space="0" w:color="auto"/>
                <w:right w:val="none" w:sz="0" w:space="0" w:color="auto"/>
              </w:divBdr>
              <w:divsChild>
                <w:div w:id="1935429164">
                  <w:marLeft w:val="360"/>
                  <w:marRight w:val="96"/>
                  <w:marTop w:val="0"/>
                  <w:marBottom w:val="0"/>
                  <w:divBdr>
                    <w:top w:val="none" w:sz="0" w:space="0" w:color="auto"/>
                    <w:left w:val="none" w:sz="0" w:space="0" w:color="auto"/>
                    <w:bottom w:val="none" w:sz="0" w:space="0" w:color="auto"/>
                    <w:right w:val="none" w:sz="0" w:space="0" w:color="auto"/>
                  </w:divBdr>
                </w:div>
              </w:divsChild>
            </w:div>
            <w:div w:id="1095979752">
              <w:marLeft w:val="0"/>
              <w:marRight w:val="0"/>
              <w:marTop w:val="0"/>
              <w:marBottom w:val="0"/>
              <w:divBdr>
                <w:top w:val="none" w:sz="0" w:space="0" w:color="auto"/>
                <w:left w:val="none" w:sz="0" w:space="0" w:color="auto"/>
                <w:bottom w:val="none" w:sz="0" w:space="0" w:color="auto"/>
                <w:right w:val="none" w:sz="0" w:space="0" w:color="auto"/>
              </w:divBdr>
              <w:divsChild>
                <w:div w:id="867256297">
                  <w:marLeft w:val="360"/>
                  <w:marRight w:val="96"/>
                  <w:marTop w:val="0"/>
                  <w:marBottom w:val="0"/>
                  <w:divBdr>
                    <w:top w:val="none" w:sz="0" w:space="0" w:color="auto"/>
                    <w:left w:val="none" w:sz="0" w:space="0" w:color="auto"/>
                    <w:bottom w:val="none" w:sz="0" w:space="0" w:color="auto"/>
                    <w:right w:val="none" w:sz="0" w:space="0" w:color="auto"/>
                  </w:divBdr>
                </w:div>
              </w:divsChild>
            </w:div>
            <w:div w:id="348876819">
              <w:marLeft w:val="0"/>
              <w:marRight w:val="0"/>
              <w:marTop w:val="0"/>
              <w:marBottom w:val="0"/>
              <w:divBdr>
                <w:top w:val="none" w:sz="0" w:space="0" w:color="auto"/>
                <w:left w:val="none" w:sz="0" w:space="0" w:color="auto"/>
                <w:bottom w:val="none" w:sz="0" w:space="0" w:color="auto"/>
                <w:right w:val="none" w:sz="0" w:space="0" w:color="auto"/>
              </w:divBdr>
              <w:divsChild>
                <w:div w:id="521743163">
                  <w:marLeft w:val="360"/>
                  <w:marRight w:val="96"/>
                  <w:marTop w:val="0"/>
                  <w:marBottom w:val="0"/>
                  <w:divBdr>
                    <w:top w:val="none" w:sz="0" w:space="0" w:color="auto"/>
                    <w:left w:val="none" w:sz="0" w:space="0" w:color="auto"/>
                    <w:bottom w:val="none" w:sz="0" w:space="0" w:color="auto"/>
                    <w:right w:val="none" w:sz="0" w:space="0" w:color="auto"/>
                  </w:divBdr>
                </w:div>
              </w:divsChild>
            </w:div>
            <w:div w:id="1213229323">
              <w:marLeft w:val="0"/>
              <w:marRight w:val="0"/>
              <w:marTop w:val="0"/>
              <w:marBottom w:val="0"/>
              <w:divBdr>
                <w:top w:val="none" w:sz="0" w:space="0" w:color="auto"/>
                <w:left w:val="none" w:sz="0" w:space="0" w:color="auto"/>
                <w:bottom w:val="none" w:sz="0" w:space="0" w:color="auto"/>
                <w:right w:val="none" w:sz="0" w:space="0" w:color="auto"/>
              </w:divBdr>
              <w:divsChild>
                <w:div w:id="1097143269">
                  <w:marLeft w:val="360"/>
                  <w:marRight w:val="96"/>
                  <w:marTop w:val="0"/>
                  <w:marBottom w:val="0"/>
                  <w:divBdr>
                    <w:top w:val="none" w:sz="0" w:space="0" w:color="auto"/>
                    <w:left w:val="none" w:sz="0" w:space="0" w:color="auto"/>
                    <w:bottom w:val="none" w:sz="0" w:space="0" w:color="auto"/>
                    <w:right w:val="none" w:sz="0" w:space="0" w:color="auto"/>
                  </w:divBdr>
                </w:div>
              </w:divsChild>
            </w:div>
            <w:div w:id="1741249197">
              <w:marLeft w:val="0"/>
              <w:marRight w:val="0"/>
              <w:marTop w:val="0"/>
              <w:marBottom w:val="0"/>
              <w:divBdr>
                <w:top w:val="none" w:sz="0" w:space="0" w:color="auto"/>
                <w:left w:val="none" w:sz="0" w:space="0" w:color="auto"/>
                <w:bottom w:val="none" w:sz="0" w:space="0" w:color="auto"/>
                <w:right w:val="none" w:sz="0" w:space="0" w:color="auto"/>
              </w:divBdr>
              <w:divsChild>
                <w:div w:id="35199184">
                  <w:marLeft w:val="360"/>
                  <w:marRight w:val="96"/>
                  <w:marTop w:val="0"/>
                  <w:marBottom w:val="0"/>
                  <w:divBdr>
                    <w:top w:val="none" w:sz="0" w:space="0" w:color="auto"/>
                    <w:left w:val="none" w:sz="0" w:space="0" w:color="auto"/>
                    <w:bottom w:val="none" w:sz="0" w:space="0" w:color="auto"/>
                    <w:right w:val="none" w:sz="0" w:space="0" w:color="auto"/>
                  </w:divBdr>
                </w:div>
              </w:divsChild>
            </w:div>
            <w:div w:id="1106853323">
              <w:marLeft w:val="0"/>
              <w:marRight w:val="0"/>
              <w:marTop w:val="0"/>
              <w:marBottom w:val="0"/>
              <w:divBdr>
                <w:top w:val="none" w:sz="0" w:space="0" w:color="auto"/>
                <w:left w:val="none" w:sz="0" w:space="0" w:color="auto"/>
                <w:bottom w:val="none" w:sz="0" w:space="0" w:color="auto"/>
                <w:right w:val="none" w:sz="0" w:space="0" w:color="auto"/>
              </w:divBdr>
              <w:divsChild>
                <w:div w:id="1056666857">
                  <w:marLeft w:val="360"/>
                  <w:marRight w:val="96"/>
                  <w:marTop w:val="0"/>
                  <w:marBottom w:val="0"/>
                  <w:divBdr>
                    <w:top w:val="none" w:sz="0" w:space="0" w:color="auto"/>
                    <w:left w:val="none" w:sz="0" w:space="0" w:color="auto"/>
                    <w:bottom w:val="none" w:sz="0" w:space="0" w:color="auto"/>
                    <w:right w:val="none" w:sz="0" w:space="0" w:color="auto"/>
                  </w:divBdr>
                </w:div>
              </w:divsChild>
            </w:div>
            <w:div w:id="1318419485">
              <w:marLeft w:val="0"/>
              <w:marRight w:val="0"/>
              <w:marTop w:val="0"/>
              <w:marBottom w:val="0"/>
              <w:divBdr>
                <w:top w:val="none" w:sz="0" w:space="0" w:color="auto"/>
                <w:left w:val="none" w:sz="0" w:space="0" w:color="auto"/>
                <w:bottom w:val="none" w:sz="0" w:space="0" w:color="auto"/>
                <w:right w:val="none" w:sz="0" w:space="0" w:color="auto"/>
              </w:divBdr>
              <w:divsChild>
                <w:div w:id="740713641">
                  <w:marLeft w:val="360"/>
                  <w:marRight w:val="96"/>
                  <w:marTop w:val="0"/>
                  <w:marBottom w:val="0"/>
                  <w:divBdr>
                    <w:top w:val="none" w:sz="0" w:space="0" w:color="auto"/>
                    <w:left w:val="none" w:sz="0" w:space="0" w:color="auto"/>
                    <w:bottom w:val="none" w:sz="0" w:space="0" w:color="auto"/>
                    <w:right w:val="none" w:sz="0" w:space="0" w:color="auto"/>
                  </w:divBdr>
                </w:div>
              </w:divsChild>
            </w:div>
            <w:div w:id="2011904864">
              <w:marLeft w:val="0"/>
              <w:marRight w:val="0"/>
              <w:marTop w:val="0"/>
              <w:marBottom w:val="0"/>
              <w:divBdr>
                <w:top w:val="none" w:sz="0" w:space="0" w:color="auto"/>
                <w:left w:val="none" w:sz="0" w:space="0" w:color="auto"/>
                <w:bottom w:val="none" w:sz="0" w:space="0" w:color="auto"/>
                <w:right w:val="none" w:sz="0" w:space="0" w:color="auto"/>
              </w:divBdr>
              <w:divsChild>
                <w:div w:id="56708925">
                  <w:marLeft w:val="360"/>
                  <w:marRight w:val="96"/>
                  <w:marTop w:val="0"/>
                  <w:marBottom w:val="0"/>
                  <w:divBdr>
                    <w:top w:val="none" w:sz="0" w:space="0" w:color="auto"/>
                    <w:left w:val="none" w:sz="0" w:space="0" w:color="auto"/>
                    <w:bottom w:val="none" w:sz="0" w:space="0" w:color="auto"/>
                    <w:right w:val="none" w:sz="0" w:space="0" w:color="auto"/>
                  </w:divBdr>
                </w:div>
              </w:divsChild>
            </w:div>
            <w:div w:id="100801461">
              <w:marLeft w:val="0"/>
              <w:marRight w:val="0"/>
              <w:marTop w:val="0"/>
              <w:marBottom w:val="0"/>
              <w:divBdr>
                <w:top w:val="none" w:sz="0" w:space="0" w:color="auto"/>
                <w:left w:val="none" w:sz="0" w:space="0" w:color="auto"/>
                <w:bottom w:val="none" w:sz="0" w:space="0" w:color="auto"/>
                <w:right w:val="none" w:sz="0" w:space="0" w:color="auto"/>
              </w:divBdr>
              <w:divsChild>
                <w:div w:id="1821770302">
                  <w:marLeft w:val="360"/>
                  <w:marRight w:val="96"/>
                  <w:marTop w:val="0"/>
                  <w:marBottom w:val="0"/>
                  <w:divBdr>
                    <w:top w:val="none" w:sz="0" w:space="0" w:color="auto"/>
                    <w:left w:val="none" w:sz="0" w:space="0" w:color="auto"/>
                    <w:bottom w:val="none" w:sz="0" w:space="0" w:color="auto"/>
                    <w:right w:val="none" w:sz="0" w:space="0" w:color="auto"/>
                  </w:divBdr>
                </w:div>
              </w:divsChild>
            </w:div>
            <w:div w:id="1113785029">
              <w:marLeft w:val="0"/>
              <w:marRight w:val="0"/>
              <w:marTop w:val="0"/>
              <w:marBottom w:val="0"/>
              <w:divBdr>
                <w:top w:val="none" w:sz="0" w:space="0" w:color="auto"/>
                <w:left w:val="none" w:sz="0" w:space="0" w:color="auto"/>
                <w:bottom w:val="none" w:sz="0" w:space="0" w:color="auto"/>
                <w:right w:val="none" w:sz="0" w:space="0" w:color="auto"/>
              </w:divBdr>
              <w:divsChild>
                <w:div w:id="1980767833">
                  <w:marLeft w:val="360"/>
                  <w:marRight w:val="96"/>
                  <w:marTop w:val="0"/>
                  <w:marBottom w:val="0"/>
                  <w:divBdr>
                    <w:top w:val="none" w:sz="0" w:space="0" w:color="auto"/>
                    <w:left w:val="none" w:sz="0" w:space="0" w:color="auto"/>
                    <w:bottom w:val="none" w:sz="0" w:space="0" w:color="auto"/>
                    <w:right w:val="none" w:sz="0" w:space="0" w:color="auto"/>
                  </w:divBdr>
                </w:div>
              </w:divsChild>
            </w:div>
            <w:div w:id="1103958308">
              <w:marLeft w:val="0"/>
              <w:marRight w:val="0"/>
              <w:marTop w:val="0"/>
              <w:marBottom w:val="0"/>
              <w:divBdr>
                <w:top w:val="none" w:sz="0" w:space="0" w:color="auto"/>
                <w:left w:val="none" w:sz="0" w:space="0" w:color="auto"/>
                <w:bottom w:val="none" w:sz="0" w:space="0" w:color="auto"/>
                <w:right w:val="none" w:sz="0" w:space="0" w:color="auto"/>
              </w:divBdr>
              <w:divsChild>
                <w:div w:id="1532457987">
                  <w:marLeft w:val="360"/>
                  <w:marRight w:val="96"/>
                  <w:marTop w:val="0"/>
                  <w:marBottom w:val="0"/>
                  <w:divBdr>
                    <w:top w:val="none" w:sz="0" w:space="0" w:color="auto"/>
                    <w:left w:val="none" w:sz="0" w:space="0" w:color="auto"/>
                    <w:bottom w:val="none" w:sz="0" w:space="0" w:color="auto"/>
                    <w:right w:val="none" w:sz="0" w:space="0" w:color="auto"/>
                  </w:divBdr>
                </w:div>
              </w:divsChild>
            </w:div>
            <w:div w:id="1300189590">
              <w:marLeft w:val="0"/>
              <w:marRight w:val="0"/>
              <w:marTop w:val="0"/>
              <w:marBottom w:val="0"/>
              <w:divBdr>
                <w:top w:val="none" w:sz="0" w:space="0" w:color="auto"/>
                <w:left w:val="none" w:sz="0" w:space="0" w:color="auto"/>
                <w:bottom w:val="none" w:sz="0" w:space="0" w:color="auto"/>
                <w:right w:val="none" w:sz="0" w:space="0" w:color="auto"/>
              </w:divBdr>
              <w:divsChild>
                <w:div w:id="760417336">
                  <w:marLeft w:val="360"/>
                  <w:marRight w:val="96"/>
                  <w:marTop w:val="0"/>
                  <w:marBottom w:val="0"/>
                  <w:divBdr>
                    <w:top w:val="none" w:sz="0" w:space="0" w:color="auto"/>
                    <w:left w:val="none" w:sz="0" w:space="0" w:color="auto"/>
                    <w:bottom w:val="none" w:sz="0" w:space="0" w:color="auto"/>
                    <w:right w:val="none" w:sz="0" w:space="0" w:color="auto"/>
                  </w:divBdr>
                </w:div>
              </w:divsChild>
            </w:div>
            <w:div w:id="332955156">
              <w:marLeft w:val="0"/>
              <w:marRight w:val="0"/>
              <w:marTop w:val="0"/>
              <w:marBottom w:val="0"/>
              <w:divBdr>
                <w:top w:val="none" w:sz="0" w:space="0" w:color="auto"/>
                <w:left w:val="none" w:sz="0" w:space="0" w:color="auto"/>
                <w:bottom w:val="none" w:sz="0" w:space="0" w:color="auto"/>
                <w:right w:val="none" w:sz="0" w:space="0" w:color="auto"/>
              </w:divBdr>
              <w:divsChild>
                <w:div w:id="156388955">
                  <w:marLeft w:val="360"/>
                  <w:marRight w:val="96"/>
                  <w:marTop w:val="0"/>
                  <w:marBottom w:val="0"/>
                  <w:divBdr>
                    <w:top w:val="none" w:sz="0" w:space="0" w:color="auto"/>
                    <w:left w:val="none" w:sz="0" w:space="0" w:color="auto"/>
                    <w:bottom w:val="none" w:sz="0" w:space="0" w:color="auto"/>
                    <w:right w:val="none" w:sz="0" w:space="0" w:color="auto"/>
                  </w:divBdr>
                </w:div>
              </w:divsChild>
            </w:div>
            <w:div w:id="17857568">
              <w:marLeft w:val="0"/>
              <w:marRight w:val="0"/>
              <w:marTop w:val="0"/>
              <w:marBottom w:val="0"/>
              <w:divBdr>
                <w:top w:val="none" w:sz="0" w:space="0" w:color="auto"/>
                <w:left w:val="none" w:sz="0" w:space="0" w:color="auto"/>
                <w:bottom w:val="none" w:sz="0" w:space="0" w:color="auto"/>
                <w:right w:val="none" w:sz="0" w:space="0" w:color="auto"/>
              </w:divBdr>
              <w:divsChild>
                <w:div w:id="163240031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6754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TotalTime>
  <Pages>9</Pages>
  <Words>8703</Words>
  <Characters>49608</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Paige Halas</dc:creator>
  <cp:keywords/>
  <dc:description/>
  <cp:lastModifiedBy>Paige Halas</cp:lastModifiedBy>
  <cp:revision>36</cp:revision>
  <dcterms:created xsi:type="dcterms:W3CDTF">2019-11-29T19:56:00Z</dcterms:created>
  <dcterms:modified xsi:type="dcterms:W3CDTF">2019-12-08T03:02:00Z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zotero-version="5.0.77"&gt;&lt;session id="lDojbRvH"/&gt;&lt;style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