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1E6739AF"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 xml:space="preserve">kinases MAP2K1,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5DC7D436" w:rsidR="00FC6681" w:rsidRDefault="005F76BD" w:rsidP="00FC6681">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US with 4 million diagnos</w:t>
      </w:r>
      <w:r w:rsidR="00910310">
        <w:rPr>
          <w:color w:val="000000"/>
          <w:u w:color="000000"/>
        </w:rPr>
        <w:t>e</w:t>
      </w:r>
      <w:r w:rsidR="00CF2792">
        <w:rPr>
          <w:color w:val="000000"/>
          <w:u w:color="000000"/>
        </w:rPr>
        <w:t>s a year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 Evidence supports that this cancer depends on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Patched1 (PTCH1)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cancers such as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Small molecule drugs</w:t>
      </w:r>
      <w:r w:rsidR="008B3C76">
        <w:rPr>
          <w:color w:val="000000"/>
          <w:u w:color="000000"/>
        </w:rPr>
        <w:t xml:space="preserve"> </w:t>
      </w:r>
      <w:r>
        <w:rPr>
          <w:color w:val="000000"/>
          <w:u w:color="000000"/>
        </w:rPr>
        <w:t>that inhibit SMO</w:t>
      </w:r>
      <w:r w:rsidR="008B3C76">
        <w:rPr>
          <w:color w:val="000000"/>
          <w:u w:color="000000"/>
        </w:rPr>
        <w:t xml:space="preserve">, </w:t>
      </w:r>
      <w:r w:rsidR="008B3C76">
        <w:rPr>
          <w:color w:val="000000"/>
          <w:u w:color="000000"/>
        </w:rPr>
        <w:t xml:space="preserve">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release of GLI transcription factors</w:t>
      </w:r>
      <w:r>
        <w:rPr>
          <w:color w:val="000000"/>
          <w:u w:color="000000"/>
        </w:rPr>
        <w:t xml:space="preserve"> </w:t>
      </w:r>
      <w:r w:rsidR="00FC6681">
        <w:rPr>
          <w:color w:val="000000"/>
          <w:u w:color="000000"/>
        </w:rPr>
        <w:t xml:space="preserve">to treat </w:t>
      </w:r>
      <w:r>
        <w:rPr>
          <w:color w:val="000000"/>
          <w:u w:color="000000"/>
        </w:rPr>
        <w:t xml:space="preserve">BCC. </w:t>
      </w:r>
      <w:r w:rsidR="00FC6681">
        <w:rPr>
          <w:color w:val="000000"/>
          <w:u w:color="000000"/>
        </w:rPr>
        <w:t xml:space="preserve">It has been found that BCC tumors can acquire resistance to SMO inhibitors, thus causing a loss of SMO inhibitor </w:t>
      </w:r>
      <w:proofErr w:type="spellStart"/>
      <w:r w:rsidR="00FC6681">
        <w:rPr>
          <w:color w:val="000000"/>
          <w:u w:color="000000"/>
        </w:rPr>
        <w:t>Sufu</w:t>
      </w:r>
      <w:proofErr w:type="spellEnd"/>
      <w:r w:rsidR="00FC6681">
        <w:rPr>
          <w:color w:val="000000"/>
          <w:u w:color="000000"/>
        </w:rPr>
        <w:t xml:space="preserve"> or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Additionally, mutations in SMO have caused the drug to be ineffective in suppressing SMO and thus allowing the pathway to proceed as normal</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and </w:t>
      </w:r>
      <w:r w:rsidR="00FC6681">
        <w:rPr>
          <w:color w:val="000000"/>
          <w:u w:color="000000"/>
        </w:rPr>
        <w:t xml:space="preserve">mutations of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Pr>
          <w:color w:val="000000"/>
          <w:u w:color="000000"/>
        </w:rPr>
        <w:t>It has been previously found that multi-site phosphorylation regulates the conversion of GLI proteins into transcriptional activators and kinases activate the response in Hedgehog Signaling activity and tumor growth</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FC6681">
        <w:rPr>
          <w:color w:val="000000"/>
          <w:u w:color="000000"/>
        </w:rPr>
        <w:t xml:space="preserve">The purpose of this project is to assess Hedgehog Signaling Pathway activation by inhibiting kinases predicted to be active at recurrent </w:t>
      </w:r>
      <w:r w:rsidR="002B0389">
        <w:rPr>
          <w:color w:val="000000"/>
          <w:u w:color="000000"/>
        </w:rPr>
        <w:t xml:space="preserve">GLI </w:t>
      </w:r>
      <w:r w:rsidR="00FC6681">
        <w:rPr>
          <w:color w:val="000000"/>
          <w:u w:color="000000"/>
        </w:rPr>
        <w:t xml:space="preserve">mutation sites. </w:t>
      </w:r>
    </w:p>
    <w:p w14:paraId="5579466A" w14:textId="740FDE05" w:rsidR="005F76BD" w:rsidRDefault="005F76BD" w:rsidP="00FC6681">
      <w:pPr>
        <w:autoSpaceDE w:val="0"/>
        <w:autoSpaceDN w:val="0"/>
        <w:adjustRightInd w:val="0"/>
        <w:ind w:firstLine="720"/>
        <w:rPr>
          <w:color w:val="000000"/>
          <w:u w:color="000000"/>
        </w:rPr>
      </w:pPr>
      <w:r>
        <w:rPr>
          <w:color w:val="000000"/>
          <w:u w:color="000000"/>
        </w:rPr>
        <w:t xml:space="preserve">Mitogen-Activated Protein Kinase 2 (MAP2K1)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xml:space="preserve">. Cobimetinib is effective as a MAP2K1 inhibitor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activated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in</w:t>
      </w:r>
      <w:r w:rsidR="00286CD4">
        <w:rPr>
          <w:color w:val="000000"/>
          <w:u w:color="000000"/>
        </w:rPr>
        <w:t xml:space="preserve"> primary</w:t>
      </w:r>
      <w:r>
        <w:rPr>
          <w:color w:val="000000"/>
          <w:u w:color="000000"/>
        </w:rPr>
        <w:t xml:space="preserve"> cili</w:t>
      </w:r>
      <w:r w:rsidR="00286CD4">
        <w:rPr>
          <w:color w:val="000000"/>
          <w:u w:color="000000"/>
        </w:rPr>
        <w:t>a formation</w:t>
      </w:r>
      <w:r>
        <w:rPr>
          <w:color w:val="000000"/>
          <w:u w:color="000000"/>
        </w:rPr>
        <w:t xml:space="preserve"> 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xml:space="preserve">. Zinc05007751 is a novel selective NEK1 inhibitor with an IC50 of 3.4 </w:t>
      </w:r>
      <w:r w:rsidR="00F30989">
        <w:rPr>
          <w:rFonts w:ascii="Symbol" w:hAnsi="Symbol" w:cs="Symbol"/>
          <w:color w:val="000000"/>
          <w:u w:color="000000"/>
        </w:rPr>
        <w:sym w:font="Symbol" w:char="F06D"/>
      </w:r>
      <w:r>
        <w:rPr>
          <w:color w:val="000000"/>
          <w:u w:color="000000"/>
        </w:rPr>
        <w:t xml:space="preserve">M. Evidence suggests that inhibition of NEK1 would reduce GLI activation and Hedgehog Signaling. As MAP2K1,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35344ECB" w:rsidR="005F76BD" w:rsidRDefault="005F76BD" w:rsidP="005F76BD">
      <w:pPr>
        <w:autoSpaceDE w:val="0"/>
        <w:autoSpaceDN w:val="0"/>
        <w:adjustRightInd w:val="0"/>
        <w:ind w:firstLine="720"/>
        <w:rPr>
          <w:color w:val="000000"/>
          <w:u w:color="000000"/>
        </w:rPr>
      </w:pPr>
      <w:r>
        <w:rPr>
          <w:color w:val="000000"/>
          <w:u w:color="000000"/>
        </w:rPr>
        <w:t>We hypothesize that MAP2K1, PDHK and NEK1 kinases increase Hedgehog Signaling activity due to their predicted activity at recurrent GLI mutation sites</w:t>
      </w:r>
      <w:r w:rsidR="00286CD4">
        <w:rPr>
          <w:color w:val="000000"/>
          <w:u w:color="000000"/>
        </w:rPr>
        <w:t xml:space="preserve"> and insight to their role in Hedgehog Signaling or cancer</w:t>
      </w:r>
      <w:r>
        <w:rPr>
          <w:color w:val="000000"/>
          <w:u w:color="000000"/>
        </w:rPr>
        <w:t xml:space="preserve">. </w:t>
      </w:r>
    </w:p>
    <w:p w14:paraId="205FB44A" w14:textId="77777777" w:rsidR="0090541E" w:rsidRDefault="0090541E"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720349EF"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A compilation of GLI1 and GLI2 mutations that occur three or more times in cancer cells in the Catalogue of Somatic Mutations in Cancer (COSMIC) database have been generated and </w:t>
      </w:r>
      <w:r>
        <w:rPr>
          <w:color w:val="000000"/>
          <w:u w:color="000000"/>
        </w:rPr>
        <w:lastRenderedPageBreak/>
        <w:t xml:space="preserve">previously screened for activation of the Hedgehog Signaling Pathway in the Atwood Lab. Using Group-Based Prediction Software (GPS) and </w:t>
      </w:r>
      <w:proofErr w:type="spellStart"/>
      <w:r>
        <w:rPr>
          <w:color w:val="000000"/>
          <w:u w:color="000000"/>
        </w:rPr>
        <w:t>PhosphoNet</w:t>
      </w:r>
      <w:proofErr w:type="spellEnd"/>
      <w:r>
        <w:rPr>
          <w:color w:val="000000"/>
          <w:u w:color="000000"/>
        </w:rPr>
        <w:t xml:space="preserve"> Kinase Predictor, kinases which are predicted to be active at </w:t>
      </w:r>
      <w:proofErr w:type="spellStart"/>
      <w:r>
        <w:rPr>
          <w:color w:val="000000"/>
          <w:u w:color="000000"/>
        </w:rPr>
        <w:t>phosphosites</w:t>
      </w:r>
      <w:proofErr w:type="spellEnd"/>
      <w:r>
        <w:rPr>
          <w:color w:val="000000"/>
          <w:u w:color="000000"/>
        </w:rPr>
        <w:t xml:space="preserve"> four positions </w:t>
      </w:r>
      <w:r w:rsidR="002B0389">
        <w:rPr>
          <w:color w:val="000000"/>
          <w:u w:color="000000"/>
        </w:rPr>
        <w:t>up</w:t>
      </w:r>
      <w:r>
        <w:rPr>
          <w:color w:val="000000"/>
          <w:u w:color="000000"/>
        </w:rPr>
        <w:t xml:space="preserve"> or </w:t>
      </w:r>
      <w:r w:rsidR="002B0389">
        <w:rPr>
          <w:color w:val="000000"/>
          <w:u w:color="000000"/>
        </w:rPr>
        <w:t>downstream from</w:t>
      </w:r>
      <w:r>
        <w:rPr>
          <w:color w:val="000000"/>
          <w:u w:color="000000"/>
        </w:rPr>
        <w:t xml:space="preserve"> a recurring mutation side are compiled. Kinase candidates having previous evidence of mediating phosphorylation and activating Hedgehog Signaling at a mutation site were eliminated from the compilation. Previous insight into their activity in Hedgehog Signaling or cancer allowed for the selection of MAP2K1, PDHK and NEK1 to evaluate Hedgehog Signaling effects due to kinase activity experimentally.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6FF94474"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Cobimetinib, Dichloroacetic Acid, and Zinc05007751 are selected as inhibitors for MAP2K1, PDHK and NEK1 due to their availability, specificity and IC50 range. To promote the generation of primary cilia and Hedgehog Pathway activation, </w:t>
      </w:r>
      <w:r w:rsidR="0040106F">
        <w:rPr>
          <w:color w:val="000000"/>
          <w:u w:color="000000"/>
        </w:rPr>
        <w:t xml:space="preserve">Wild Type (3T3) </w:t>
      </w:r>
      <w:r>
        <w:rPr>
          <w:color w:val="000000"/>
          <w:u w:color="000000"/>
        </w:rPr>
        <w:t xml:space="preserve">cells are serum starved and serum starved with Hedgehog conditioned media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r w:rsidR="0040106F">
        <w:rPr>
          <w:color w:val="000000"/>
          <w:u w:color="000000"/>
        </w:rPr>
        <w:t xml:space="preserve"> Fold change was normalized to the diluent only (DMSO</w:t>
      </w:r>
      <w:bookmarkStart w:id="0" w:name="_GoBack"/>
      <w:bookmarkEnd w:id="0"/>
      <w:r w:rsidR="0040106F">
        <w:rPr>
          <w:color w:val="000000"/>
          <w:u w:color="000000"/>
        </w:rPr>
        <w:t xml:space="preserve">) control in Serum Starved media (SS) for each cell line (3T3 and BCC). Standard error bars denote technical replicates between drug treated samples. </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5B3BB1A"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 to the cells in replicates of six to allow for variability.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3DB0A99B" w14:textId="0D6154CE" w:rsidR="005F76BD" w:rsidRDefault="005F76BD" w:rsidP="005F76BD">
      <w:pPr>
        <w:autoSpaceDE w:val="0"/>
        <w:autoSpaceDN w:val="0"/>
        <w:adjustRightInd w:val="0"/>
        <w:rPr>
          <w:b/>
          <w:bCs/>
          <w:color w:val="000000"/>
          <w:u w:color="000000"/>
        </w:rPr>
      </w:pPr>
      <w:r>
        <w:rPr>
          <w:b/>
          <w:bCs/>
          <w:color w:val="000000"/>
          <w:u w:color="000000"/>
        </w:rPr>
        <w:t xml:space="preserve">Results </w:t>
      </w:r>
    </w:p>
    <w:p w14:paraId="6F592850" w14:textId="23E00F45" w:rsidR="00F4624C" w:rsidRPr="007C25F5" w:rsidRDefault="00A177B5" w:rsidP="005F76BD">
      <w:pPr>
        <w:autoSpaceDE w:val="0"/>
        <w:autoSpaceDN w:val="0"/>
        <w:adjustRightInd w:val="0"/>
        <w:rPr>
          <w:b/>
          <w:bCs/>
          <w:color w:val="000000"/>
          <w:u w:color="000000"/>
        </w:rPr>
      </w:pPr>
      <w:r w:rsidRPr="007C25F5">
        <w:rPr>
          <w:b/>
          <w:bCs/>
          <w:color w:val="000000"/>
          <w:u w:color="000000"/>
        </w:rPr>
        <w:t xml:space="preserve">Inhibition </w:t>
      </w:r>
      <w:r w:rsidR="007C25F5">
        <w:rPr>
          <w:b/>
          <w:bCs/>
          <w:color w:val="000000"/>
          <w:u w:color="000000"/>
        </w:rPr>
        <w:t xml:space="preserve">of MAP2K1/MEK1 </w:t>
      </w:r>
      <w:r w:rsidRPr="007C25F5">
        <w:rPr>
          <w:b/>
          <w:bCs/>
          <w:color w:val="000000"/>
          <w:u w:color="000000"/>
        </w:rPr>
        <w:t xml:space="preserve">does not impact Activation of Hedgehog Signaling </w:t>
      </w:r>
    </w:p>
    <w:p w14:paraId="1789C4DC" w14:textId="3444C7BA" w:rsidR="0030172C" w:rsidRDefault="00F30989" w:rsidP="00F4624C">
      <w:pPr>
        <w:autoSpaceDE w:val="0"/>
        <w:autoSpaceDN w:val="0"/>
        <w:adjustRightInd w:val="0"/>
        <w:ind w:firstLine="720"/>
        <w:rPr>
          <w:color w:val="000000"/>
          <w:u w:color="000000"/>
        </w:rPr>
      </w:pPr>
      <w:r>
        <w:rPr>
          <w:color w:val="000000"/>
          <w:u w:color="000000"/>
        </w:rPr>
        <w:t>Previous evidence of the role of MAP2K1 in cancer and its ability to activate Hedgehog Signal</w:t>
      </w:r>
      <w:r w:rsidR="00156EFA">
        <w:rPr>
          <w:color w:val="000000"/>
          <w:u w:color="000000"/>
        </w:rPr>
        <w:t>i</w:t>
      </w:r>
      <w:r>
        <w:rPr>
          <w:color w:val="000000"/>
          <w:u w:color="000000"/>
        </w:rPr>
        <w:t xml:space="preserve">ng </w:t>
      </w:r>
      <w:r w:rsidR="00F17F37">
        <w:rPr>
          <w:color w:val="000000"/>
          <w:u w:color="000000"/>
        </w:rPr>
        <w:t>brought the hypothesis</w:t>
      </w:r>
      <w:r w:rsidR="00156EFA">
        <w:rPr>
          <w:color w:val="000000"/>
          <w:u w:color="000000"/>
        </w:rPr>
        <w:t xml:space="preserve"> that </w:t>
      </w:r>
      <w:r>
        <w:rPr>
          <w:color w:val="000000"/>
          <w:u w:color="000000"/>
        </w:rPr>
        <w:t xml:space="preserve">inhibiting this kinase with Cobimetinib would decrease 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 xml:space="preserve">in comparison to serum starved media </w:t>
      </w:r>
      <w:r w:rsidR="00904217">
        <w:rPr>
          <w:color w:val="000000"/>
          <w:u w:color="000000"/>
        </w:rPr>
        <w:t>as expected</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w:t>
      </w:r>
      <w:r w:rsidR="004A1190">
        <w:rPr>
          <w:color w:val="000000"/>
          <w:u w:color="000000"/>
        </w:rPr>
        <w:lastRenderedPageBreak/>
        <w:t xml:space="preserve">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222C85D7" w:rsidR="0030172C" w:rsidRDefault="0030172C" w:rsidP="00F4624C">
      <w:pPr>
        <w:autoSpaceDE w:val="0"/>
        <w:autoSpaceDN w:val="0"/>
        <w:adjustRightInd w:val="0"/>
        <w:ind w:firstLine="720"/>
        <w:rPr>
          <w:color w:val="000000"/>
          <w:u w:color="000000"/>
        </w:rPr>
      </w:pPr>
      <w:r>
        <w:rPr>
          <w:noProof/>
          <w:color w:val="000000"/>
          <w:u w:color="000000"/>
        </w:rPr>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00CA21D9" w:rsidR="00F30989" w:rsidRPr="00F4624C" w:rsidRDefault="00261D3D" w:rsidP="00F4624C">
      <w:pPr>
        <w:autoSpaceDE w:val="0"/>
        <w:autoSpaceDN w:val="0"/>
        <w:adjustRightInd w:val="0"/>
        <w:ind w:firstLine="720"/>
        <w:rPr>
          <w:b/>
          <w:bCs/>
          <w:color w:val="000000"/>
          <w:u w:color="000000"/>
        </w:rPr>
      </w:pPr>
      <w:r>
        <w:rPr>
          <w:color w:val="000000"/>
          <w:u w:color="000000"/>
        </w:rPr>
        <w:t xml:space="preserve">In assessing the cell viability in the BCC cell line, </w:t>
      </w:r>
      <w:r w:rsidR="0030247B">
        <w:rPr>
          <w:color w:val="000000"/>
          <w:u w:color="000000"/>
        </w:rPr>
        <w:t xml:space="preserve">as the concentration of Cobimetinib increases, </w:t>
      </w:r>
      <w:r w:rsidR="00030F43">
        <w:rPr>
          <w:color w:val="000000"/>
          <w:u w:color="000000"/>
        </w:rPr>
        <w:t xml:space="preserve">the </w:t>
      </w:r>
      <w:r w:rsidR="00C63EDF">
        <w:rPr>
          <w:color w:val="000000"/>
          <w:u w:color="000000"/>
        </w:rPr>
        <w:t>cell death with Cobimetinib drug treatment</w:t>
      </w:r>
      <w:r w:rsidR="00030F43">
        <w:rPr>
          <w:color w:val="000000"/>
          <w:u w:color="000000"/>
        </w:rPr>
        <w:t xml:space="preserve"> is consistent </w:t>
      </w:r>
      <w:r w:rsidR="00156EFA">
        <w:rPr>
          <w:color w:val="000000"/>
          <w:u w:color="000000"/>
        </w:rPr>
        <w:t>over a period of 6 days</w:t>
      </w:r>
      <w:r w:rsidR="00030F43">
        <w:rPr>
          <w:color w:val="000000"/>
          <w:u w:color="000000"/>
        </w:rPr>
        <w:t xml:space="preserve"> with the exception of the highest concentration 100 </w:t>
      </w:r>
      <w:proofErr w:type="spellStart"/>
      <w:r w:rsidR="00030F43">
        <w:rPr>
          <w:color w:val="000000"/>
          <w:u w:color="000000"/>
        </w:rPr>
        <w:t>nM</w:t>
      </w:r>
      <w:proofErr w:type="spellEnd"/>
      <w:r w:rsidR="0030247B">
        <w:rPr>
          <w:color w:val="000000"/>
          <w:u w:color="000000"/>
        </w:rPr>
        <w:t xml:space="preserve"> (</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4811D9DC" w:rsidR="008A75D9" w:rsidRDefault="0030172C" w:rsidP="005F76BD">
      <w:pPr>
        <w:autoSpaceDE w:val="0"/>
        <w:autoSpaceDN w:val="0"/>
        <w:adjustRightInd w:val="0"/>
        <w:rPr>
          <w:color w:val="000000"/>
          <w:u w:color="000000"/>
        </w:rPr>
      </w:pPr>
      <w:r>
        <w:rPr>
          <w:noProof/>
          <w:color w:val="000000"/>
          <w:u w:color="000000"/>
        </w:rPr>
        <w:drawing>
          <wp:anchor distT="0" distB="0" distL="114300" distR="114300" simplePos="0" relativeHeight="251675648" behindDoc="0" locked="0" layoutInCell="1" allowOverlap="1" wp14:anchorId="5A089013" wp14:editId="21969237">
            <wp:simplePos x="0" y="0"/>
            <wp:positionH relativeFrom="column">
              <wp:posOffset>1194705</wp:posOffset>
            </wp:positionH>
            <wp:positionV relativeFrom="paragraph">
              <wp:posOffset>73717</wp:posOffset>
            </wp:positionV>
            <wp:extent cx="3847465" cy="2416810"/>
            <wp:effectExtent l="0" t="0" r="635" b="0"/>
            <wp:wrapThrough wrapText="bothSides">
              <wp:wrapPolygon edited="0">
                <wp:start x="0" y="0"/>
                <wp:lineTo x="0" y="21452"/>
                <wp:lineTo x="21532" y="21452"/>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2.58.08 PM.png"/>
                    <pic:cNvPicPr/>
                  </pic:nvPicPr>
                  <pic:blipFill rotWithShape="1">
                    <a:blip r:embed="rId8" cstate="print">
                      <a:extLst>
                        <a:ext uri="{28A0092B-C50C-407E-A947-70E740481C1C}">
                          <a14:useLocalDpi xmlns:a14="http://schemas.microsoft.com/office/drawing/2010/main" val="0"/>
                        </a:ext>
                      </a:extLst>
                    </a:blip>
                    <a:srcRect l="8314"/>
                    <a:stretch/>
                  </pic:blipFill>
                  <pic:spPr bwMode="auto">
                    <a:xfrm>
                      <a:off x="0" y="0"/>
                      <a:ext cx="3847465"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F8494" w14:textId="33D95627" w:rsidR="00F4624C" w:rsidRDefault="00F4624C" w:rsidP="005F76BD">
      <w:pPr>
        <w:autoSpaceDE w:val="0"/>
        <w:autoSpaceDN w:val="0"/>
        <w:adjustRightInd w:val="0"/>
        <w:rPr>
          <w:color w:val="000000"/>
          <w:u w:color="000000"/>
        </w:rPr>
      </w:pPr>
    </w:p>
    <w:p w14:paraId="7EFF23EA" w14:textId="77777777" w:rsidR="0030172C" w:rsidRDefault="0030172C" w:rsidP="005F76BD">
      <w:pPr>
        <w:autoSpaceDE w:val="0"/>
        <w:autoSpaceDN w:val="0"/>
        <w:adjustRightInd w:val="0"/>
        <w:rPr>
          <w:b/>
          <w:bCs/>
          <w:color w:val="000000"/>
          <w:u w:color="000000"/>
        </w:rPr>
      </w:pPr>
    </w:p>
    <w:p w14:paraId="4C016AF8" w14:textId="77777777" w:rsidR="0030172C" w:rsidRDefault="0030172C" w:rsidP="005F76BD">
      <w:pPr>
        <w:autoSpaceDE w:val="0"/>
        <w:autoSpaceDN w:val="0"/>
        <w:adjustRightInd w:val="0"/>
        <w:rPr>
          <w:b/>
          <w:bCs/>
          <w:color w:val="000000"/>
          <w:u w:color="000000"/>
        </w:rPr>
      </w:pPr>
    </w:p>
    <w:p w14:paraId="39B2B666" w14:textId="77777777" w:rsidR="0030172C" w:rsidRDefault="0030172C" w:rsidP="005F76BD">
      <w:pPr>
        <w:autoSpaceDE w:val="0"/>
        <w:autoSpaceDN w:val="0"/>
        <w:adjustRightInd w:val="0"/>
        <w:rPr>
          <w:b/>
          <w:bCs/>
          <w:color w:val="000000"/>
          <w:u w:color="000000"/>
        </w:rPr>
      </w:pPr>
    </w:p>
    <w:p w14:paraId="2819EEC3" w14:textId="77777777" w:rsidR="0030172C" w:rsidRDefault="0030172C" w:rsidP="005F76BD">
      <w:pPr>
        <w:autoSpaceDE w:val="0"/>
        <w:autoSpaceDN w:val="0"/>
        <w:adjustRightInd w:val="0"/>
        <w:rPr>
          <w:b/>
          <w:bCs/>
          <w:color w:val="000000"/>
          <w:u w:color="000000"/>
        </w:rPr>
      </w:pPr>
    </w:p>
    <w:p w14:paraId="6A6F956B" w14:textId="77777777" w:rsidR="0030172C" w:rsidRDefault="0030172C" w:rsidP="005F76BD">
      <w:pPr>
        <w:autoSpaceDE w:val="0"/>
        <w:autoSpaceDN w:val="0"/>
        <w:adjustRightInd w:val="0"/>
        <w:rPr>
          <w:b/>
          <w:bCs/>
          <w:color w:val="000000"/>
          <w:u w:color="000000"/>
        </w:rPr>
      </w:pPr>
    </w:p>
    <w:p w14:paraId="5C42299D" w14:textId="77777777" w:rsidR="0030172C" w:rsidRDefault="0030172C" w:rsidP="005F76BD">
      <w:pPr>
        <w:autoSpaceDE w:val="0"/>
        <w:autoSpaceDN w:val="0"/>
        <w:adjustRightInd w:val="0"/>
        <w:rPr>
          <w:b/>
          <w:bCs/>
          <w:color w:val="000000"/>
          <w:u w:color="000000"/>
        </w:rPr>
      </w:pPr>
    </w:p>
    <w:p w14:paraId="40D60644" w14:textId="77777777" w:rsidR="0030172C" w:rsidRDefault="0030172C" w:rsidP="005F76BD">
      <w:pPr>
        <w:autoSpaceDE w:val="0"/>
        <w:autoSpaceDN w:val="0"/>
        <w:adjustRightInd w:val="0"/>
        <w:rPr>
          <w:b/>
          <w:bCs/>
          <w:color w:val="000000"/>
          <w:u w:color="000000"/>
        </w:rPr>
      </w:pPr>
    </w:p>
    <w:p w14:paraId="423B80C1" w14:textId="77777777" w:rsidR="0030172C" w:rsidRDefault="0030172C" w:rsidP="005F76BD">
      <w:pPr>
        <w:autoSpaceDE w:val="0"/>
        <w:autoSpaceDN w:val="0"/>
        <w:adjustRightInd w:val="0"/>
        <w:rPr>
          <w:b/>
          <w:bCs/>
          <w:color w:val="000000"/>
          <w:u w:color="000000"/>
        </w:rPr>
      </w:pPr>
    </w:p>
    <w:p w14:paraId="1BA26A01" w14:textId="77777777" w:rsidR="0030172C" w:rsidRDefault="0030172C" w:rsidP="005F76BD">
      <w:pPr>
        <w:autoSpaceDE w:val="0"/>
        <w:autoSpaceDN w:val="0"/>
        <w:adjustRightInd w:val="0"/>
        <w:rPr>
          <w:b/>
          <w:bCs/>
          <w:color w:val="000000"/>
          <w:u w:color="000000"/>
        </w:rPr>
      </w:pPr>
    </w:p>
    <w:p w14:paraId="095087B6" w14:textId="77777777" w:rsidR="0030172C" w:rsidRDefault="0030172C" w:rsidP="005F76BD">
      <w:pPr>
        <w:autoSpaceDE w:val="0"/>
        <w:autoSpaceDN w:val="0"/>
        <w:adjustRightInd w:val="0"/>
        <w:rPr>
          <w:b/>
          <w:bCs/>
          <w:color w:val="000000"/>
          <w:u w:color="000000"/>
        </w:rPr>
      </w:pPr>
    </w:p>
    <w:p w14:paraId="5CB47628" w14:textId="77777777" w:rsidR="0030172C" w:rsidRDefault="0030172C" w:rsidP="005F76BD">
      <w:pPr>
        <w:autoSpaceDE w:val="0"/>
        <w:autoSpaceDN w:val="0"/>
        <w:adjustRightInd w:val="0"/>
        <w:rPr>
          <w:b/>
          <w:bCs/>
          <w:color w:val="000000"/>
          <w:u w:color="000000"/>
        </w:rPr>
      </w:pPr>
    </w:p>
    <w:p w14:paraId="6FC8B2A2" w14:textId="77777777" w:rsidR="0030172C" w:rsidRDefault="0030172C" w:rsidP="005F76BD">
      <w:pPr>
        <w:autoSpaceDE w:val="0"/>
        <w:autoSpaceDN w:val="0"/>
        <w:adjustRightInd w:val="0"/>
        <w:rPr>
          <w:b/>
          <w:bCs/>
          <w:color w:val="000000"/>
          <w:u w:color="000000"/>
        </w:rPr>
      </w:pPr>
    </w:p>
    <w:p w14:paraId="3C558C87" w14:textId="77777777" w:rsidR="0030172C" w:rsidRDefault="0030172C" w:rsidP="005F76BD">
      <w:pPr>
        <w:autoSpaceDE w:val="0"/>
        <w:autoSpaceDN w:val="0"/>
        <w:adjustRightInd w:val="0"/>
        <w:rPr>
          <w:b/>
          <w:bCs/>
          <w:color w:val="000000"/>
          <w:u w:color="000000"/>
        </w:rPr>
      </w:pPr>
    </w:p>
    <w:p w14:paraId="260AA3DC" w14:textId="4F764AE9" w:rsidR="0030172C" w:rsidRDefault="00373DA4" w:rsidP="00A177B5">
      <w:pPr>
        <w:autoSpaceDE w:val="0"/>
        <w:autoSpaceDN w:val="0"/>
        <w:adjustRightInd w:val="0"/>
        <w:rPr>
          <w:b/>
          <w:bCs/>
          <w:color w:val="000000"/>
          <w:u w:color="000000"/>
        </w:rPr>
      </w:pPr>
      <w:r>
        <w:rPr>
          <w:b/>
          <w:bCs/>
          <w:color w:val="000000"/>
          <w:u w:color="000000"/>
        </w:rPr>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77777777" w:rsidR="007C25F5" w:rsidRDefault="00A177B5" w:rsidP="0030172C">
      <w:pPr>
        <w:autoSpaceDE w:val="0"/>
        <w:autoSpaceDN w:val="0"/>
        <w:adjustRightInd w:val="0"/>
        <w:ind w:firstLine="720"/>
        <w:rPr>
          <w:color w:val="000000"/>
          <w:u w:color="000000"/>
        </w:rPr>
      </w:pPr>
      <w:r>
        <w:rPr>
          <w:color w:val="000000"/>
          <w:u w:color="000000"/>
        </w:rPr>
        <w:t>Increased activity of PDHK in cancer cells suggests that inhibition with Dichloroacetic acid could reduce Hedgehog Signaling. Hedgehog signaling activity measured through GLI1 expression is not affected in the presence of Dichloroacetic acid at the concentrations tested (</w:t>
      </w:r>
      <w:r w:rsidRPr="00A177B5">
        <w:rPr>
          <w:b/>
          <w:bCs/>
          <w:color w:val="000000"/>
          <w:u w:color="000000"/>
        </w:rPr>
        <w:t>Figure 3</w:t>
      </w:r>
      <w:r>
        <w:rPr>
          <w:color w:val="000000"/>
          <w:u w:color="000000"/>
        </w:rPr>
        <w:t xml:space="preserve">). </w:t>
      </w:r>
      <w:r w:rsidR="004A1190">
        <w:rPr>
          <w:color w:val="000000"/>
          <w:u w:color="000000"/>
        </w:rPr>
        <w:t xml:space="preserve">Overall, fold change of GLI in the HH SS Wild Type cells is higher than in the SS Wild Type cells as expected.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Pr>
          <w:color w:val="000000"/>
          <w:u w:color="000000"/>
        </w:rPr>
        <w:t>(</w:t>
      </w:r>
      <w:r w:rsidR="0030172C" w:rsidRPr="0030172C">
        <w:rPr>
          <w:b/>
          <w:bCs/>
          <w:color w:val="000000"/>
          <w:u w:color="000000"/>
        </w:rPr>
        <w:t xml:space="preserve">Figure </w:t>
      </w:r>
      <w:r w:rsidR="0030172C" w:rsidRPr="0030172C">
        <w:rPr>
          <w:b/>
          <w:bCs/>
          <w:color w:val="000000"/>
          <w:u w:color="000000"/>
        </w:rPr>
        <w:lastRenderedPageBreak/>
        <w:t>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4E57CCB6" w:rsidR="007C25F5" w:rsidRDefault="00AD04F3" w:rsidP="007C25F5">
      <w:pPr>
        <w:autoSpaceDE w:val="0"/>
        <w:autoSpaceDN w:val="0"/>
        <w:adjustRightInd w:val="0"/>
        <w:ind w:firstLine="72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w:t>
      </w:r>
      <w:r w:rsidR="00C63EDF">
        <w:rPr>
          <w:color w:val="000000"/>
          <w:u w:color="000000"/>
        </w:rPr>
        <w:t xml:space="preserve">PDHK </w:t>
      </w:r>
      <w:r w:rsidR="00196B1D">
        <w:rPr>
          <w:color w:val="000000"/>
          <w:u w:color="000000"/>
        </w:rPr>
        <w:t xml:space="preserve">inhibitor </w:t>
      </w:r>
      <w:r w:rsidR="00373DA4">
        <w:rPr>
          <w:color w:val="000000"/>
          <w:u w:color="000000"/>
        </w:rPr>
        <w:t>over a period of 6 days in the (</w:t>
      </w:r>
      <w:r w:rsidR="00373DA4" w:rsidRPr="00373DA4">
        <w:rPr>
          <w:b/>
          <w:bCs/>
          <w:color w:val="000000"/>
          <w:u w:color="000000"/>
        </w:rPr>
        <w:t>Figure 4</w:t>
      </w:r>
      <w:r w:rsidR="00373DA4">
        <w:rPr>
          <w:color w:val="000000"/>
          <w:u w:color="000000"/>
        </w:rPr>
        <w:t xml:space="preserve">). </w:t>
      </w:r>
    </w:p>
    <w:p w14:paraId="449ECA30" w14:textId="1DB72289" w:rsidR="007C25F5" w:rsidRPr="0030172C" w:rsidRDefault="007C25F5" w:rsidP="007C25F5">
      <w:pPr>
        <w:autoSpaceDE w:val="0"/>
        <w:autoSpaceDN w:val="0"/>
        <w:adjustRightInd w:val="0"/>
        <w:jc w:val="center"/>
        <w:rPr>
          <w:b/>
          <w:bCs/>
          <w:color w:val="000000"/>
          <w:u w:color="000000"/>
        </w:rPr>
      </w:pPr>
      <w:r>
        <w:rPr>
          <w:noProof/>
        </w:rPr>
        <w:drawing>
          <wp:anchor distT="0" distB="0" distL="114300" distR="114300" simplePos="0" relativeHeight="251677696" behindDoc="0" locked="0" layoutInCell="1" allowOverlap="1" wp14:anchorId="42707629" wp14:editId="48EF8A3E">
            <wp:simplePos x="0" y="0"/>
            <wp:positionH relativeFrom="column">
              <wp:posOffset>1040821</wp:posOffset>
            </wp:positionH>
            <wp:positionV relativeFrom="paragraph">
              <wp:posOffset>54321</wp:posOffset>
            </wp:positionV>
            <wp:extent cx="4073295" cy="2108319"/>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78" t="15280" r="8151"/>
                    <a:stretch/>
                  </pic:blipFill>
                  <pic:spPr bwMode="auto">
                    <a:xfrm>
                      <a:off x="0" y="0"/>
                      <a:ext cx="4073295" cy="2108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7D555" w14:textId="77777777" w:rsidR="007C25F5" w:rsidRDefault="007C25F5" w:rsidP="005F76BD">
      <w:pPr>
        <w:autoSpaceDE w:val="0"/>
        <w:autoSpaceDN w:val="0"/>
        <w:adjustRightInd w:val="0"/>
        <w:rPr>
          <w:b/>
          <w:bCs/>
          <w:color w:val="000000"/>
          <w:u w:color="000000"/>
        </w:rPr>
      </w:pPr>
    </w:p>
    <w:p w14:paraId="44F88C60" w14:textId="77777777" w:rsidR="007C25F5" w:rsidRDefault="007C25F5" w:rsidP="005F76BD">
      <w:pPr>
        <w:autoSpaceDE w:val="0"/>
        <w:autoSpaceDN w:val="0"/>
        <w:adjustRightInd w:val="0"/>
        <w:rPr>
          <w:b/>
          <w:bCs/>
          <w:color w:val="000000"/>
          <w:u w:color="000000"/>
        </w:rPr>
      </w:pPr>
    </w:p>
    <w:p w14:paraId="19FB3035" w14:textId="77777777" w:rsidR="007C25F5" w:rsidRDefault="007C25F5" w:rsidP="005F76BD">
      <w:pPr>
        <w:autoSpaceDE w:val="0"/>
        <w:autoSpaceDN w:val="0"/>
        <w:adjustRightInd w:val="0"/>
        <w:rPr>
          <w:b/>
          <w:bCs/>
          <w:color w:val="000000"/>
          <w:u w:color="000000"/>
        </w:rPr>
      </w:pPr>
    </w:p>
    <w:p w14:paraId="2AEE1881" w14:textId="77777777" w:rsidR="007C25F5" w:rsidRDefault="007C25F5" w:rsidP="005F76BD">
      <w:pPr>
        <w:autoSpaceDE w:val="0"/>
        <w:autoSpaceDN w:val="0"/>
        <w:adjustRightInd w:val="0"/>
        <w:rPr>
          <w:b/>
          <w:bCs/>
          <w:color w:val="000000"/>
          <w:u w:color="000000"/>
        </w:rPr>
      </w:pPr>
    </w:p>
    <w:p w14:paraId="1DF1401F" w14:textId="77777777" w:rsidR="007C25F5" w:rsidRDefault="007C25F5" w:rsidP="005F76BD">
      <w:pPr>
        <w:autoSpaceDE w:val="0"/>
        <w:autoSpaceDN w:val="0"/>
        <w:adjustRightInd w:val="0"/>
        <w:rPr>
          <w:b/>
          <w:bCs/>
          <w:color w:val="000000"/>
          <w:u w:color="000000"/>
        </w:rPr>
      </w:pPr>
    </w:p>
    <w:p w14:paraId="64A9BFE1" w14:textId="77777777" w:rsidR="007C25F5" w:rsidRDefault="007C25F5" w:rsidP="005F76BD">
      <w:pPr>
        <w:autoSpaceDE w:val="0"/>
        <w:autoSpaceDN w:val="0"/>
        <w:adjustRightInd w:val="0"/>
        <w:rPr>
          <w:b/>
          <w:bCs/>
          <w:color w:val="000000"/>
          <w:u w:color="000000"/>
        </w:rPr>
      </w:pPr>
    </w:p>
    <w:p w14:paraId="42E8CBE6" w14:textId="77777777" w:rsidR="007C25F5" w:rsidRDefault="007C25F5" w:rsidP="005F76BD">
      <w:pPr>
        <w:autoSpaceDE w:val="0"/>
        <w:autoSpaceDN w:val="0"/>
        <w:adjustRightInd w:val="0"/>
        <w:rPr>
          <w:b/>
          <w:bCs/>
          <w:color w:val="000000"/>
          <w:u w:color="000000"/>
        </w:rPr>
      </w:pPr>
    </w:p>
    <w:p w14:paraId="5F7CA765" w14:textId="77777777" w:rsidR="007C25F5" w:rsidRDefault="007C25F5" w:rsidP="005F76BD">
      <w:pPr>
        <w:autoSpaceDE w:val="0"/>
        <w:autoSpaceDN w:val="0"/>
        <w:adjustRightInd w:val="0"/>
        <w:rPr>
          <w:b/>
          <w:bCs/>
          <w:color w:val="000000"/>
          <w:u w:color="000000"/>
        </w:rPr>
      </w:pPr>
    </w:p>
    <w:p w14:paraId="347662BC" w14:textId="77777777" w:rsidR="007C25F5" w:rsidRDefault="007C25F5" w:rsidP="005F76BD">
      <w:pPr>
        <w:autoSpaceDE w:val="0"/>
        <w:autoSpaceDN w:val="0"/>
        <w:adjustRightInd w:val="0"/>
        <w:rPr>
          <w:b/>
          <w:bCs/>
          <w:color w:val="000000"/>
          <w:u w:color="000000"/>
        </w:rPr>
      </w:pPr>
    </w:p>
    <w:p w14:paraId="445579F5" w14:textId="77777777" w:rsidR="007C25F5" w:rsidRDefault="007C25F5" w:rsidP="005F76BD">
      <w:pPr>
        <w:autoSpaceDE w:val="0"/>
        <w:autoSpaceDN w:val="0"/>
        <w:adjustRightInd w:val="0"/>
        <w:rPr>
          <w:b/>
          <w:bCs/>
          <w:color w:val="000000"/>
          <w:u w:color="000000"/>
        </w:rPr>
      </w:pPr>
    </w:p>
    <w:p w14:paraId="5FA38547" w14:textId="77777777" w:rsidR="007C25F5" w:rsidRDefault="007C25F5" w:rsidP="005F76BD">
      <w:pPr>
        <w:autoSpaceDE w:val="0"/>
        <w:autoSpaceDN w:val="0"/>
        <w:adjustRightInd w:val="0"/>
        <w:rPr>
          <w:b/>
          <w:bCs/>
          <w:color w:val="000000"/>
          <w:u w:color="000000"/>
        </w:rPr>
      </w:pPr>
    </w:p>
    <w:p w14:paraId="7D429254" w14:textId="77777777" w:rsidR="007C25F5" w:rsidRDefault="007C25F5" w:rsidP="005F76BD">
      <w:pPr>
        <w:autoSpaceDE w:val="0"/>
        <w:autoSpaceDN w:val="0"/>
        <w:adjustRightInd w:val="0"/>
        <w:rPr>
          <w:b/>
          <w:bCs/>
          <w:color w:val="000000"/>
          <w:u w:color="000000"/>
        </w:rPr>
      </w:pPr>
    </w:p>
    <w:p w14:paraId="5CCCE926" w14:textId="0CCA5158" w:rsidR="00655776" w:rsidRDefault="00655776" w:rsidP="005F76BD">
      <w:pPr>
        <w:autoSpaceDE w:val="0"/>
        <w:autoSpaceDN w:val="0"/>
        <w:adjustRightInd w:val="0"/>
        <w:rPr>
          <w:b/>
          <w:bCs/>
          <w:color w:val="000000"/>
          <w:u w:color="000000"/>
        </w:rPr>
      </w:pPr>
      <w:r w:rsidRPr="00C63EDF">
        <w:rPr>
          <w:b/>
          <w:bCs/>
          <w:color w:val="000000"/>
          <w:u w:color="000000"/>
        </w:rPr>
        <w:t>NEK</w:t>
      </w:r>
      <w:r w:rsidR="00196B1D" w:rsidRPr="00C63EDF">
        <w:rPr>
          <w:b/>
          <w:bCs/>
          <w:color w:val="000000"/>
          <w:u w:color="000000"/>
        </w:rPr>
        <w:t xml:space="preserve">1 </w:t>
      </w:r>
      <w:r w:rsidR="00C63EDF" w:rsidRPr="00C63EDF">
        <w:rPr>
          <w:b/>
          <w:bCs/>
          <w:color w:val="000000"/>
          <w:u w:color="000000"/>
        </w:rPr>
        <w:t xml:space="preserve">Inhibition </w:t>
      </w:r>
      <w:r w:rsidR="007C25F5" w:rsidRPr="00C63EDF">
        <w:rPr>
          <w:b/>
          <w:bCs/>
          <w:color w:val="000000"/>
          <w:u w:color="000000"/>
        </w:rPr>
        <w:t>Demonstrates Activation of Hedgehog Signaling</w:t>
      </w:r>
      <w:r w:rsidR="007C25F5">
        <w:rPr>
          <w:b/>
          <w:bCs/>
          <w:color w:val="000000"/>
          <w:u w:color="000000"/>
        </w:rPr>
        <w:t xml:space="preserve"> </w:t>
      </w:r>
    </w:p>
    <w:p w14:paraId="1174955C" w14:textId="4CCF2BDF" w:rsidR="00373DA4" w:rsidRDefault="00373DA4" w:rsidP="007C25F5">
      <w:pPr>
        <w:autoSpaceDE w:val="0"/>
        <w:autoSpaceDN w:val="0"/>
        <w:adjustRightInd w:val="0"/>
        <w:ind w:firstLine="720"/>
        <w:rPr>
          <w:color w:val="000000"/>
          <w:u w:color="000000"/>
        </w:rPr>
      </w:pPr>
      <w:r>
        <w:rPr>
          <w:color w:val="000000"/>
          <w:u w:color="000000"/>
        </w:rPr>
        <w:t>The effect of NEK1 on cili</w:t>
      </w:r>
      <w:r w:rsidR="007C25F5">
        <w:rPr>
          <w:color w:val="000000"/>
          <w:u w:color="000000"/>
        </w:rPr>
        <w:t>a regulation</w:t>
      </w:r>
      <w:r>
        <w:rPr>
          <w:color w:val="000000"/>
          <w:u w:color="000000"/>
        </w:rPr>
        <w:t xml:space="preserve"> 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E56748">
        <w:rPr>
          <w:color w:val="000000"/>
          <w:u w:color="000000"/>
        </w:rPr>
        <w:t xml:space="preserve">likely </w:t>
      </w:r>
      <w:r w:rsidR="007C25F5">
        <w:rPr>
          <w:color w:val="000000"/>
          <w:u w:color="000000"/>
        </w:rPr>
        <w:t>affect</w:t>
      </w:r>
      <w:r w:rsidR="006516BF">
        <w:rPr>
          <w:color w:val="000000"/>
          <w:u w:color="000000"/>
        </w:rPr>
        <w:t>s</w:t>
      </w:r>
      <w:r w:rsidR="007C25F5">
        <w:rPr>
          <w:color w:val="000000"/>
          <w:u w:color="000000"/>
        </w:rPr>
        <w:t xml:space="preserve"> </w:t>
      </w:r>
      <w:r w:rsidR="00E56748">
        <w:rPr>
          <w:color w:val="000000"/>
          <w:u w:color="000000"/>
        </w:rPr>
        <w:t>activation of Hedgehog Signalin</w:t>
      </w:r>
      <w:r w:rsidR="007C25F5">
        <w:rPr>
          <w:color w:val="000000"/>
          <w:u w:color="000000"/>
        </w:rPr>
        <w:t xml:space="preserve">g. </w:t>
      </w:r>
      <w:r w:rsidR="00C63EDF">
        <w:rPr>
          <w:color w:val="000000"/>
          <w:u w:color="000000"/>
        </w:rPr>
        <w:t>The fold change of GLI in diluent only Wild Type samples increased in the HH SS media condition versus the SS media as expected</w:t>
      </w:r>
      <w:r w:rsidR="005655FE">
        <w:rPr>
          <w:color w:val="000000"/>
          <w:u w:color="000000"/>
        </w:rPr>
        <w:t xml:space="preserve"> (</w:t>
      </w:r>
      <w:r w:rsidR="005655FE" w:rsidRPr="005655FE">
        <w:rPr>
          <w:b/>
          <w:bCs/>
          <w:color w:val="000000"/>
          <w:u w:color="000000"/>
        </w:rPr>
        <w:t>Figure 5</w:t>
      </w:r>
      <w:r w:rsidR="005655FE">
        <w:rPr>
          <w:color w:val="000000"/>
          <w:u w:color="000000"/>
        </w:rPr>
        <w:t>)</w:t>
      </w:r>
      <w:r w:rsidR="00C63EDF">
        <w:rPr>
          <w:color w:val="000000"/>
          <w:u w:color="000000"/>
        </w:rPr>
        <w:t>. However, in the HH SS samples, GLI expression decreased beyond the error bars</w:t>
      </w:r>
      <w:r w:rsidR="005655FE">
        <w:rPr>
          <w:color w:val="000000"/>
          <w:u w:color="000000"/>
        </w:rPr>
        <w:t xml:space="preserve"> </w:t>
      </w:r>
      <w:r w:rsidR="00C63EDF">
        <w:rPr>
          <w:color w:val="000000"/>
          <w:u w:color="000000"/>
        </w:rPr>
        <w:t xml:space="preserve">with drug treatment </w:t>
      </w:r>
      <w:r w:rsidR="005655FE">
        <w:rPr>
          <w:color w:val="000000"/>
          <w:u w:color="000000"/>
        </w:rPr>
        <w:t xml:space="preserve">as low as at the </w:t>
      </w:r>
      <w:r w:rsidR="00C63EDF">
        <w:rPr>
          <w:color w:val="000000"/>
          <w:u w:color="000000"/>
        </w:rPr>
        <w:t xml:space="preserve">IC50 of 3.4 </w:t>
      </w:r>
      <w:r w:rsidR="00C63EDF">
        <w:rPr>
          <w:color w:val="000000"/>
        </w:rPr>
        <w:sym w:font="Symbol" w:char="F06D"/>
      </w:r>
      <w:r w:rsidR="00C63EDF">
        <w:rPr>
          <w:color w:val="000000"/>
        </w:rPr>
        <w:t>M</w:t>
      </w:r>
      <w:r w:rsidR="005655FE">
        <w:rPr>
          <w:color w:val="000000"/>
        </w:rPr>
        <w:t xml:space="preserve"> (</w:t>
      </w:r>
      <w:r w:rsidR="005655FE" w:rsidRPr="005655FE">
        <w:rPr>
          <w:b/>
          <w:bCs/>
          <w:color w:val="000000"/>
        </w:rPr>
        <w:t>Figure 5A</w:t>
      </w:r>
      <w:r w:rsidR="005655FE">
        <w:rPr>
          <w:color w:val="000000"/>
        </w:rPr>
        <w:t>)</w:t>
      </w:r>
      <w:r w:rsidR="00C63EDF">
        <w:rPr>
          <w:color w:val="000000"/>
        </w:rPr>
        <w:t xml:space="preserve">. </w:t>
      </w:r>
      <w:r w:rsidR="005655FE">
        <w:rPr>
          <w:color w:val="000000"/>
          <w:u w:color="000000"/>
        </w:rPr>
        <w:t>Additionally, there is a decrease in fold change with drug treatment in the BCC cell line (</w:t>
      </w:r>
      <w:r w:rsidR="005655FE" w:rsidRPr="005655FE">
        <w:rPr>
          <w:b/>
          <w:bCs/>
          <w:color w:val="000000"/>
          <w:u w:color="000000"/>
        </w:rPr>
        <w:t>Figure 5B</w:t>
      </w:r>
      <w:r w:rsidR="005655FE">
        <w:rPr>
          <w:color w:val="000000"/>
          <w:u w:color="000000"/>
        </w:rPr>
        <w:t xml:space="preserve">). The addition of this drug does not influence cell death in an </w:t>
      </w:r>
      <w:r w:rsidR="005655FE" w:rsidRPr="005655FE">
        <w:rPr>
          <w:i/>
          <w:iCs/>
          <w:color w:val="000000"/>
          <w:u w:color="000000"/>
        </w:rPr>
        <w:t>in vivo</w:t>
      </w:r>
      <w:r w:rsidR="005655FE">
        <w:rPr>
          <w:color w:val="000000"/>
          <w:u w:color="000000"/>
        </w:rPr>
        <w:t xml:space="preserve"> setting which confirms that the decrease in GLI expression with drug </w:t>
      </w:r>
      <w:proofErr w:type="spellStart"/>
      <w:r w:rsidR="005655FE">
        <w:rPr>
          <w:color w:val="000000"/>
          <w:u w:color="000000"/>
        </w:rPr>
        <w:t>addition</w:t>
      </w:r>
      <w:proofErr w:type="spellEnd"/>
      <w:r w:rsidR="005655FE">
        <w:rPr>
          <w:color w:val="000000"/>
          <w:u w:color="000000"/>
        </w:rPr>
        <w:t xml:space="preserve"> is not due to cell viability (</w:t>
      </w:r>
      <w:r w:rsidR="005655FE" w:rsidRPr="005655FE">
        <w:rPr>
          <w:b/>
          <w:bCs/>
          <w:color w:val="000000"/>
          <w:u w:color="000000"/>
        </w:rPr>
        <w:t>Figure 6</w:t>
      </w:r>
      <w:r w:rsidR="005655FE">
        <w:rPr>
          <w:color w:val="000000"/>
          <w:u w:color="000000"/>
        </w:rPr>
        <w:t xml:space="preserve">). </w:t>
      </w:r>
    </w:p>
    <w:p w14:paraId="70D39AE6" w14:textId="77777777" w:rsidR="007C6EAE" w:rsidRDefault="007C6EAE" w:rsidP="007C6EAE">
      <w:pPr>
        <w:autoSpaceDE w:val="0"/>
        <w:autoSpaceDN w:val="0"/>
        <w:adjustRightInd w:val="0"/>
        <w:jc w:val="center"/>
        <w:rPr>
          <w:color w:val="000000"/>
          <w:u w:color="000000"/>
        </w:rPr>
      </w:pPr>
    </w:p>
    <w:p w14:paraId="64DC646D" w14:textId="5412D072" w:rsidR="00E56748" w:rsidRDefault="007C6EAE" w:rsidP="007C6EAE">
      <w:pPr>
        <w:autoSpaceDE w:val="0"/>
        <w:autoSpaceDN w:val="0"/>
        <w:adjustRightInd w:val="0"/>
        <w:jc w:val="center"/>
        <w:rPr>
          <w:color w:val="000000"/>
          <w:u w:color="000000"/>
        </w:rPr>
      </w:pPr>
      <w:r>
        <w:rPr>
          <w:noProof/>
          <w:color w:val="000000"/>
          <w:u w:color="000000"/>
        </w:rPr>
        <w:lastRenderedPageBreak/>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1694847F" w14:textId="4108E805" w:rsidR="00E56748" w:rsidRDefault="0072228A" w:rsidP="009466B0">
      <w:pPr>
        <w:autoSpaceDE w:val="0"/>
        <w:autoSpaceDN w:val="0"/>
        <w:adjustRightInd w:val="0"/>
        <w:jc w:val="center"/>
        <w:rPr>
          <w:color w:val="000000"/>
          <w:u w:color="000000"/>
        </w:rPr>
      </w:pPr>
      <w:r>
        <w:rPr>
          <w:noProof/>
          <w:color w:val="000000"/>
          <w:u w:color="000000"/>
        </w:rPr>
        <w:drawing>
          <wp:inline distT="0" distB="0" distL="0" distR="0" wp14:anchorId="3305BE31" wp14:editId="7D72B84D">
            <wp:extent cx="44704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3 at 3.26.20 P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06700"/>
                    </a:xfrm>
                    <a:prstGeom prst="rect">
                      <a:avLst/>
                    </a:prstGeom>
                  </pic:spPr>
                </pic:pic>
              </a:graphicData>
            </a:graphic>
          </wp:inline>
        </w:drawing>
      </w:r>
    </w:p>
    <w:p w14:paraId="443DE862" w14:textId="42D2DB29" w:rsidR="005F76BD" w:rsidRDefault="005F76BD" w:rsidP="005F76BD">
      <w:pPr>
        <w:autoSpaceDE w:val="0"/>
        <w:autoSpaceDN w:val="0"/>
        <w:adjustRightInd w:val="0"/>
        <w:rPr>
          <w:b/>
          <w:bCs/>
          <w:color w:val="000000"/>
          <w:u w:color="000000"/>
        </w:rPr>
      </w:pPr>
      <w:r w:rsidRPr="005655FE">
        <w:rPr>
          <w:b/>
          <w:bCs/>
          <w:color w:val="000000"/>
          <w:u w:color="000000"/>
        </w:rPr>
        <w:t>Discussion</w:t>
      </w:r>
      <w:r>
        <w:rPr>
          <w:b/>
          <w:bCs/>
          <w:color w:val="000000"/>
          <w:u w:color="000000"/>
        </w:rPr>
        <w:t xml:space="preserve"> </w:t>
      </w:r>
    </w:p>
    <w:p w14:paraId="4068FF65" w14:textId="6013AF5C" w:rsidR="00463BB9" w:rsidRPr="005655FE" w:rsidRDefault="005655FE" w:rsidP="005F76BD">
      <w:pPr>
        <w:autoSpaceDE w:val="0"/>
        <w:autoSpaceDN w:val="0"/>
        <w:adjustRightInd w:val="0"/>
        <w:rPr>
          <w:color w:val="000000"/>
          <w:u w:color="000000"/>
        </w:rPr>
      </w:pPr>
      <w:r>
        <w:rPr>
          <w:b/>
          <w:bCs/>
          <w:color w:val="000000"/>
          <w:u w:color="000000"/>
        </w:rPr>
        <w:tab/>
      </w:r>
      <w:r>
        <w:rPr>
          <w:color w:val="000000"/>
          <w:u w:color="000000"/>
        </w:rPr>
        <w:t xml:space="preserve">Due to </w:t>
      </w:r>
      <w:r w:rsidR="00974E8D">
        <w:rPr>
          <w:color w:val="000000"/>
          <w:u w:color="000000"/>
        </w:rPr>
        <w:t xml:space="preserve">their </w:t>
      </w:r>
      <w:r>
        <w:rPr>
          <w:color w:val="000000"/>
          <w:u w:color="000000"/>
        </w:rPr>
        <w:t>activity in Hedgehog Signaling or cancer</w:t>
      </w:r>
      <w:r w:rsidR="00974E8D">
        <w:rPr>
          <w:color w:val="000000"/>
          <w:u w:color="000000"/>
        </w:rPr>
        <w:t xml:space="preserve"> and predicted presence at recurrent GLI mutation sites</w:t>
      </w:r>
      <w:r>
        <w:rPr>
          <w:color w:val="000000"/>
          <w:u w:color="000000"/>
        </w:rPr>
        <w:t xml:space="preserve">, MAP2K1/MEK1, PDHK and NEK1 </w:t>
      </w:r>
      <w:r w:rsidR="00974E8D">
        <w:rPr>
          <w:color w:val="000000"/>
          <w:u w:color="000000"/>
        </w:rPr>
        <w:t xml:space="preserve">increase </w:t>
      </w:r>
      <w:r>
        <w:rPr>
          <w:color w:val="000000"/>
          <w:u w:color="000000"/>
        </w:rPr>
        <w:t xml:space="preserve">Hedgehog Signaling measured through GLI expression </w:t>
      </w:r>
      <w:r w:rsidR="00974E8D">
        <w:rPr>
          <w:color w:val="000000"/>
          <w:u w:color="000000"/>
        </w:rPr>
        <w:t>in the presence of kinase inhibitors. Although both inhibitor drugs do not contribute to general cell death, MAP2K1/MEK1 and PDHK do not demonstrate significant activation of Hedgehog Signaling in Wild Type and BCC cells treated with inhibitor drug as compared to diluent only treated cells. Using the Cobimetinib inhibitor of MAP2K1/MEK1 which is currently used as treatment for melanoma, there is no activation of Hedgehog Signaling by MAP2K1/MEK1</w:t>
      </w:r>
      <w:r w:rsidR="006A29AC">
        <w:rPr>
          <w:color w:val="000000"/>
          <w:u w:color="000000"/>
        </w:rPr>
        <w:t xml:space="preserve"> (</w:t>
      </w:r>
      <w:r w:rsidR="006A29AC" w:rsidRPr="006A29AC">
        <w:rPr>
          <w:b/>
          <w:bCs/>
          <w:color w:val="000000"/>
          <w:u w:color="000000"/>
        </w:rPr>
        <w:t>Figures 1, 2</w:t>
      </w:r>
      <w:r w:rsidR="006A29AC">
        <w:rPr>
          <w:color w:val="000000"/>
          <w:u w:color="000000"/>
        </w:rPr>
        <w:t>)</w:t>
      </w:r>
      <w:r w:rsidR="00974E8D">
        <w:rPr>
          <w:color w:val="000000"/>
          <w:u w:color="000000"/>
        </w:rPr>
        <w:t>. Due to the direct application of the inhibitor drug to skin cancer, it does not seem to be applicable to continue to pursue the MAP2K1/MEK1 kinase for Hedgehog Signaling Activation. Dichloroacetic Acid, the PDHK inhibitor selected for this project due to its accessibility, did not have an effect on Hedgehog Signaling</w:t>
      </w:r>
      <w:r w:rsidR="006A29AC">
        <w:rPr>
          <w:color w:val="000000"/>
          <w:u w:color="000000"/>
        </w:rPr>
        <w:t xml:space="preserve"> (</w:t>
      </w:r>
      <w:r w:rsidR="006A29AC" w:rsidRPr="006A29AC">
        <w:rPr>
          <w:b/>
          <w:bCs/>
          <w:color w:val="000000"/>
          <w:u w:color="000000"/>
        </w:rPr>
        <w:t>Figure 3</w:t>
      </w:r>
      <w:r w:rsidR="006A29AC">
        <w:rPr>
          <w:color w:val="000000"/>
          <w:u w:color="000000"/>
        </w:rPr>
        <w:t>)</w:t>
      </w:r>
      <w:r w:rsidR="00974E8D">
        <w:rPr>
          <w:color w:val="000000"/>
          <w:u w:color="000000"/>
        </w:rPr>
        <w:t xml:space="preserve">. However, with an increase in the range of drug dosage there is potential this kinase is worthwhile </w:t>
      </w:r>
      <w:r w:rsidR="00974E8D">
        <w:rPr>
          <w:color w:val="000000"/>
          <w:u w:color="000000"/>
        </w:rPr>
        <w:lastRenderedPageBreak/>
        <w:t>to investigate. As this inhibitor is a general acid, it might be interacting with multiple pathways within the cell; therefore, it would be critical to knock down the PDHK kinase with a short hairpin RNA or CRISPR to determine that the acid is acting on the anticipated target</w:t>
      </w:r>
      <w:r w:rsidR="00FA4A1C">
        <w:rPr>
          <w:color w:val="000000"/>
          <w:u w:color="000000"/>
        </w:rPr>
        <w:t xml:space="preserve"> kinase. Overall, the data collected with MAP2K1/MEK1 and PDHK indicates that these kinases, although predicted at mutation sites with GLI activation are directly related to activation of the Hedgehog Signaling Pathway, do not impact the pathway as expected. The final kinase tested, NEK1 which is responsible for regulating </w:t>
      </w:r>
      <w:proofErr w:type="spellStart"/>
      <w:r w:rsidR="00FA4A1C">
        <w:rPr>
          <w:color w:val="000000"/>
          <w:u w:color="000000"/>
        </w:rPr>
        <w:t>ciliogenesis</w:t>
      </w:r>
      <w:proofErr w:type="spellEnd"/>
      <w:r w:rsidR="00FA4A1C">
        <w:rPr>
          <w:color w:val="000000"/>
          <w:u w:color="000000"/>
        </w:rPr>
        <w:t xml:space="preserve"> activates Hedgehog Signaling through the assay tested without impacting cell death</w:t>
      </w:r>
      <w:r w:rsidR="006A29AC">
        <w:rPr>
          <w:color w:val="000000"/>
          <w:u w:color="000000"/>
        </w:rPr>
        <w:t xml:space="preserve"> (</w:t>
      </w:r>
      <w:r w:rsidR="006A29AC" w:rsidRPr="006A29AC">
        <w:rPr>
          <w:b/>
          <w:bCs/>
          <w:color w:val="000000"/>
          <w:u w:color="000000"/>
        </w:rPr>
        <w:t>Figures 5, 6</w:t>
      </w:r>
      <w:r w:rsidR="006A29AC">
        <w:rPr>
          <w:color w:val="000000"/>
          <w:u w:color="000000"/>
        </w:rPr>
        <w:t>)</w:t>
      </w:r>
      <w:r w:rsidR="00FA4A1C">
        <w:rPr>
          <w:color w:val="000000"/>
          <w:u w:color="000000"/>
        </w:rPr>
        <w:t>.</w:t>
      </w:r>
      <w:r w:rsidR="006A29AC">
        <w:rPr>
          <w:color w:val="000000"/>
          <w:u w:color="000000"/>
        </w:rPr>
        <w:t xml:space="preserve"> Expression of GLI in Wild Type serum starved cells with Hedgehog conditioned media treated with diluent only is much higher than the Wild Type cells that are only serum starved. Additionally, when treated with concentrations of inhibitor Zinc</w:t>
      </w:r>
      <w:r w:rsidR="006A29AC">
        <w:rPr>
          <w:color w:val="000000"/>
          <w:u w:color="000000"/>
        </w:rPr>
        <w:t>0500775</w:t>
      </w:r>
      <w:r w:rsidR="006A29AC">
        <w:rPr>
          <w:color w:val="000000"/>
          <w:u w:color="000000"/>
        </w:rPr>
        <w:t xml:space="preserve">1, GLI expression decreases, demonstrating the role of NEK1 in activating Hedgehog Signaling. GLI expression additionally decreases when </w:t>
      </w:r>
      <w:r w:rsidR="006A29AC">
        <w:rPr>
          <w:color w:val="000000"/>
          <w:u w:color="000000"/>
        </w:rPr>
        <w:t>Zinc05007751</w:t>
      </w:r>
      <w:r w:rsidR="006A29AC">
        <w:rPr>
          <w:color w:val="000000"/>
          <w:u w:color="000000"/>
        </w:rPr>
        <w:t xml:space="preserve"> is added to BCC cells. </w:t>
      </w:r>
      <w:r w:rsidR="00455F6F">
        <w:rPr>
          <w:color w:val="000000"/>
          <w:u w:color="000000"/>
        </w:rPr>
        <w:t xml:space="preserve">As </w:t>
      </w:r>
      <w:r w:rsidR="00463BB9">
        <w:rPr>
          <w:color w:val="000000"/>
          <w:u w:color="000000"/>
        </w:rPr>
        <w:t xml:space="preserve">NEK1 demonstrated expected activation of Hedgehog Signaling, it would be of interest to expand the treatment concentration range to determine how robust the treatment is. Additionally, </w:t>
      </w:r>
      <w:r w:rsidR="00455F6F">
        <w:rPr>
          <w:color w:val="000000"/>
          <w:u w:color="000000"/>
        </w:rPr>
        <w:t xml:space="preserve">it is critical to validate the target of </w:t>
      </w:r>
      <w:r w:rsidR="00455F6F">
        <w:rPr>
          <w:color w:val="000000"/>
          <w:u w:color="000000"/>
        </w:rPr>
        <w:t>Zinc05007751</w:t>
      </w:r>
      <w:r w:rsidR="00455F6F">
        <w:rPr>
          <w:color w:val="000000"/>
          <w:u w:color="000000"/>
        </w:rPr>
        <w:t xml:space="preserve"> by knocking out NEK1 kinase with short hairpin RNA or CRISPR. </w:t>
      </w:r>
      <w:r w:rsidR="00463BB9">
        <w:rPr>
          <w:color w:val="000000"/>
          <w:u w:color="000000"/>
        </w:rPr>
        <w:t>It would also be of interest to validate the cell cytotoxicity of Zinc</w:t>
      </w:r>
      <w:r w:rsidR="00463BB9">
        <w:rPr>
          <w:color w:val="000000"/>
          <w:u w:color="000000"/>
        </w:rPr>
        <w:t>05007751</w:t>
      </w:r>
      <w:r w:rsidR="00463BB9">
        <w:rPr>
          <w:color w:val="000000"/>
          <w:u w:color="000000"/>
        </w:rPr>
        <w:t xml:space="preserve"> using a control mouse keratinocyte line, rather than our BCC line which has developed resistance over time. After completion of these experiments to solidify our original result, it would be of interest to look further into the mechanism by which GLI is being activated as regulation of GLI transcription factors is poorly understood</w:t>
      </w:r>
      <w:r w:rsidR="00463BB9" w:rsidRPr="00463BB9">
        <w:rPr>
          <w:color w:val="000000"/>
          <w:highlight w:val="yellow"/>
          <w:u w:color="000000"/>
        </w:rPr>
        <w:t>. We can do this by</w:t>
      </w:r>
      <w:proofErr w:type="gramStart"/>
      <w:r w:rsidR="00463BB9" w:rsidRPr="00463BB9">
        <w:rPr>
          <w:color w:val="000000"/>
          <w:highlight w:val="yellow"/>
          <w:u w:color="000000"/>
        </w:rPr>
        <w:t>…..</w:t>
      </w:r>
      <w:proofErr w:type="gramEnd"/>
      <w:r w:rsidR="00463BB9">
        <w:rPr>
          <w:color w:val="000000"/>
          <w:u w:color="000000"/>
        </w:rPr>
        <w:t xml:space="preserve">If this project was to be continued it would also be in need of a larger kinase screen using the methodology utilized in this project to expand the search of Hedgehog Activating kinases. Overall, evidence leads us to believe that NEK1 kinase plays a role in activating the Hedgehog Signaling pathway. </w:t>
      </w:r>
    </w:p>
    <w:p w14:paraId="1608D929" w14:textId="0504572E" w:rsidR="005F76BD" w:rsidRDefault="005F76BD" w:rsidP="005F76BD">
      <w:pPr>
        <w:autoSpaceDE w:val="0"/>
        <w:autoSpaceDN w:val="0"/>
        <w:adjustRightInd w:val="0"/>
        <w:rPr>
          <w:color w:val="000000"/>
          <w:u w:color="000000"/>
        </w:rPr>
      </w:pPr>
    </w:p>
    <w:p w14:paraId="12913BF5" w14:textId="77777777" w:rsidR="00A50B67" w:rsidRDefault="00A50B67" w:rsidP="005F76BD">
      <w:pPr>
        <w:autoSpaceDE w:val="0"/>
        <w:autoSpaceDN w:val="0"/>
        <w:adjustRightInd w:val="0"/>
        <w:rPr>
          <w:color w:val="000000"/>
          <w:u w:color="000000"/>
        </w:rPr>
      </w:pPr>
    </w:p>
    <w:p w14:paraId="69661DF5" w14:textId="6E3B42D9" w:rsidR="005F76BD" w:rsidRDefault="005F76BD" w:rsidP="005F76BD">
      <w:pPr>
        <w:autoSpaceDE w:val="0"/>
        <w:autoSpaceDN w:val="0"/>
        <w:adjustRightInd w:val="0"/>
        <w:rPr>
          <w:color w:val="000000"/>
          <w:u w:color="000000"/>
        </w:rPr>
      </w:pPr>
    </w:p>
    <w:p w14:paraId="72806448" w14:textId="42941C43" w:rsidR="00463BB9" w:rsidRDefault="00463BB9" w:rsidP="005F76BD">
      <w:pPr>
        <w:autoSpaceDE w:val="0"/>
        <w:autoSpaceDN w:val="0"/>
        <w:adjustRightInd w:val="0"/>
        <w:rPr>
          <w:color w:val="000000"/>
          <w:u w:color="000000"/>
        </w:rPr>
      </w:pPr>
    </w:p>
    <w:p w14:paraId="470D04CA" w14:textId="597D9A0A" w:rsidR="00463BB9" w:rsidRDefault="00463BB9" w:rsidP="005F76BD">
      <w:pPr>
        <w:autoSpaceDE w:val="0"/>
        <w:autoSpaceDN w:val="0"/>
        <w:adjustRightInd w:val="0"/>
        <w:rPr>
          <w:color w:val="000000"/>
          <w:u w:color="000000"/>
        </w:rPr>
      </w:pPr>
    </w:p>
    <w:p w14:paraId="428B579C" w14:textId="76ACDDAD" w:rsidR="00463BB9" w:rsidRDefault="00463BB9" w:rsidP="005F76BD">
      <w:pPr>
        <w:autoSpaceDE w:val="0"/>
        <w:autoSpaceDN w:val="0"/>
        <w:adjustRightInd w:val="0"/>
        <w:rPr>
          <w:color w:val="000000"/>
          <w:u w:color="000000"/>
        </w:rPr>
      </w:pPr>
    </w:p>
    <w:p w14:paraId="60C1262A" w14:textId="6CE1FDE2" w:rsidR="00463BB9" w:rsidRDefault="00463BB9" w:rsidP="005F76BD">
      <w:pPr>
        <w:autoSpaceDE w:val="0"/>
        <w:autoSpaceDN w:val="0"/>
        <w:adjustRightInd w:val="0"/>
        <w:rPr>
          <w:color w:val="000000"/>
          <w:u w:color="000000"/>
        </w:rPr>
      </w:pPr>
    </w:p>
    <w:p w14:paraId="34D5C522" w14:textId="07F870E9" w:rsidR="00463BB9" w:rsidRDefault="00463BB9" w:rsidP="005F76BD">
      <w:pPr>
        <w:autoSpaceDE w:val="0"/>
        <w:autoSpaceDN w:val="0"/>
        <w:adjustRightInd w:val="0"/>
        <w:rPr>
          <w:color w:val="000000"/>
          <w:u w:color="000000"/>
        </w:rPr>
      </w:pPr>
    </w:p>
    <w:p w14:paraId="61106007" w14:textId="4C40CE06" w:rsidR="00463BB9" w:rsidRDefault="00463BB9" w:rsidP="005F76BD">
      <w:pPr>
        <w:autoSpaceDE w:val="0"/>
        <w:autoSpaceDN w:val="0"/>
        <w:adjustRightInd w:val="0"/>
        <w:rPr>
          <w:color w:val="000000"/>
          <w:u w:color="000000"/>
        </w:rPr>
      </w:pPr>
    </w:p>
    <w:p w14:paraId="6D2CA214" w14:textId="6452DAAA" w:rsidR="00463BB9" w:rsidRDefault="00463BB9" w:rsidP="005F76BD">
      <w:pPr>
        <w:autoSpaceDE w:val="0"/>
        <w:autoSpaceDN w:val="0"/>
        <w:adjustRightInd w:val="0"/>
        <w:rPr>
          <w:color w:val="000000"/>
          <w:u w:color="000000"/>
        </w:rPr>
      </w:pPr>
    </w:p>
    <w:p w14:paraId="599BA045" w14:textId="42606237" w:rsidR="00463BB9" w:rsidRDefault="00463BB9" w:rsidP="005F76BD">
      <w:pPr>
        <w:autoSpaceDE w:val="0"/>
        <w:autoSpaceDN w:val="0"/>
        <w:adjustRightInd w:val="0"/>
        <w:rPr>
          <w:color w:val="000000"/>
          <w:u w:color="000000"/>
        </w:rPr>
      </w:pPr>
    </w:p>
    <w:p w14:paraId="06A4A815" w14:textId="75D0E7C5" w:rsidR="00463BB9" w:rsidRDefault="00463BB9" w:rsidP="005F76BD">
      <w:pPr>
        <w:autoSpaceDE w:val="0"/>
        <w:autoSpaceDN w:val="0"/>
        <w:adjustRightInd w:val="0"/>
        <w:rPr>
          <w:color w:val="000000"/>
          <w:u w:color="000000"/>
        </w:rPr>
      </w:pPr>
    </w:p>
    <w:p w14:paraId="6A586EF8" w14:textId="5DA60A6A" w:rsidR="00463BB9" w:rsidRDefault="00463BB9" w:rsidP="005F76BD">
      <w:pPr>
        <w:autoSpaceDE w:val="0"/>
        <w:autoSpaceDN w:val="0"/>
        <w:adjustRightInd w:val="0"/>
        <w:rPr>
          <w:color w:val="000000"/>
          <w:u w:color="000000"/>
        </w:rPr>
      </w:pPr>
    </w:p>
    <w:p w14:paraId="45EA7B0B" w14:textId="4F7F3C79" w:rsidR="00463BB9" w:rsidRDefault="00463BB9" w:rsidP="005F76BD">
      <w:pPr>
        <w:autoSpaceDE w:val="0"/>
        <w:autoSpaceDN w:val="0"/>
        <w:adjustRightInd w:val="0"/>
        <w:rPr>
          <w:color w:val="000000"/>
          <w:u w:color="000000"/>
        </w:rPr>
      </w:pPr>
    </w:p>
    <w:p w14:paraId="5F3FC1E0" w14:textId="2BFD9900" w:rsidR="00463BB9" w:rsidRDefault="00463BB9" w:rsidP="005F76BD">
      <w:pPr>
        <w:autoSpaceDE w:val="0"/>
        <w:autoSpaceDN w:val="0"/>
        <w:adjustRightInd w:val="0"/>
        <w:rPr>
          <w:color w:val="000000"/>
          <w:u w:color="000000"/>
        </w:rPr>
      </w:pPr>
    </w:p>
    <w:p w14:paraId="3AE35AAF" w14:textId="3F1AC291" w:rsidR="00463BB9" w:rsidRDefault="00463BB9" w:rsidP="005F76BD">
      <w:pPr>
        <w:autoSpaceDE w:val="0"/>
        <w:autoSpaceDN w:val="0"/>
        <w:adjustRightInd w:val="0"/>
        <w:rPr>
          <w:color w:val="000000"/>
          <w:u w:color="000000"/>
        </w:rPr>
      </w:pPr>
    </w:p>
    <w:p w14:paraId="00A70A19" w14:textId="233B1742" w:rsidR="00463BB9" w:rsidRDefault="00463BB9" w:rsidP="005F76BD">
      <w:pPr>
        <w:autoSpaceDE w:val="0"/>
        <w:autoSpaceDN w:val="0"/>
        <w:adjustRightInd w:val="0"/>
        <w:rPr>
          <w:color w:val="000000"/>
          <w:u w:color="000000"/>
        </w:rPr>
      </w:pPr>
    </w:p>
    <w:p w14:paraId="46796610" w14:textId="3A4D3BF8" w:rsidR="00463BB9" w:rsidRDefault="00463BB9" w:rsidP="005F76BD">
      <w:pPr>
        <w:autoSpaceDE w:val="0"/>
        <w:autoSpaceDN w:val="0"/>
        <w:adjustRightInd w:val="0"/>
        <w:rPr>
          <w:color w:val="000000"/>
          <w:u w:color="000000"/>
        </w:rPr>
      </w:pPr>
    </w:p>
    <w:p w14:paraId="40026FDC" w14:textId="388A31CD" w:rsidR="00463BB9" w:rsidRDefault="00463BB9" w:rsidP="005F76BD">
      <w:pPr>
        <w:autoSpaceDE w:val="0"/>
        <w:autoSpaceDN w:val="0"/>
        <w:adjustRightInd w:val="0"/>
        <w:rPr>
          <w:color w:val="000000"/>
          <w:u w:color="000000"/>
        </w:rPr>
      </w:pPr>
    </w:p>
    <w:p w14:paraId="28A54803" w14:textId="67C859F4" w:rsidR="00463BB9" w:rsidRDefault="00463BB9" w:rsidP="005F76BD">
      <w:pPr>
        <w:autoSpaceDE w:val="0"/>
        <w:autoSpaceDN w:val="0"/>
        <w:adjustRightInd w:val="0"/>
        <w:rPr>
          <w:color w:val="000000"/>
          <w:u w:color="000000"/>
        </w:rPr>
      </w:pPr>
    </w:p>
    <w:p w14:paraId="0C2FCEB2" w14:textId="2119291B" w:rsidR="00463BB9" w:rsidRDefault="00463BB9" w:rsidP="005F76BD">
      <w:pPr>
        <w:autoSpaceDE w:val="0"/>
        <w:autoSpaceDN w:val="0"/>
        <w:adjustRightInd w:val="0"/>
        <w:rPr>
          <w:color w:val="000000"/>
          <w:u w:color="000000"/>
        </w:rPr>
      </w:pPr>
    </w:p>
    <w:p w14:paraId="5D4AAB40" w14:textId="1498AA2B" w:rsidR="00463BB9" w:rsidRDefault="00463BB9" w:rsidP="005F76BD">
      <w:pPr>
        <w:autoSpaceDE w:val="0"/>
        <w:autoSpaceDN w:val="0"/>
        <w:adjustRightInd w:val="0"/>
        <w:rPr>
          <w:color w:val="000000"/>
          <w:u w:color="000000"/>
        </w:rPr>
      </w:pPr>
    </w:p>
    <w:p w14:paraId="2A0F31BE" w14:textId="77777777" w:rsidR="00463BB9" w:rsidRDefault="00463BB9" w:rsidP="005F76BD">
      <w:pPr>
        <w:autoSpaceDE w:val="0"/>
        <w:autoSpaceDN w:val="0"/>
        <w:adjustRightInd w:val="0"/>
        <w:rPr>
          <w:b/>
          <w:bCs/>
          <w:color w:val="000000"/>
          <w:u w:color="000000"/>
        </w:rPr>
      </w:pPr>
    </w:p>
    <w:p w14:paraId="0D98210A" w14:textId="63ADE0BF" w:rsidR="00C015ED" w:rsidRDefault="002B0389" w:rsidP="005F76BD">
      <w:pPr>
        <w:rPr>
          <w:b/>
          <w:bCs/>
          <w:color w:val="000000"/>
          <w:u w:color="000000"/>
        </w:rPr>
      </w:pPr>
      <w:r>
        <w:rPr>
          <w:b/>
          <w:bCs/>
          <w:color w:val="000000"/>
          <w:u w:color="000000"/>
        </w:rPr>
        <w:t>Works Cited</w:t>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EA996" w14:textId="77777777" w:rsidR="0091704D" w:rsidRDefault="0091704D" w:rsidP="005F76BD">
      <w:r>
        <w:separator/>
      </w:r>
    </w:p>
  </w:endnote>
  <w:endnote w:type="continuationSeparator" w:id="0">
    <w:p w14:paraId="7EB58859" w14:textId="77777777" w:rsidR="0091704D" w:rsidRDefault="0091704D"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678ED" w14:textId="77777777" w:rsidR="0091704D" w:rsidRDefault="0091704D" w:rsidP="005F76BD">
      <w:r>
        <w:separator/>
      </w:r>
    </w:p>
  </w:footnote>
  <w:footnote w:type="continuationSeparator" w:id="0">
    <w:p w14:paraId="3BD006E7" w14:textId="77777777" w:rsidR="0091704D" w:rsidRDefault="0091704D"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227381364"/>
      <w:docPartObj>
        <w:docPartGallery w:val="Page Numbers (Top of Page)"/>
        <w:docPartUnique/>
      </w:docPartObj>
    </w:sdtPr>
    <w:sdtEndPr>
      <w:rPr>
        <w:rStyle w:val="PageNumber"/>
      </w:rPr>
    </w:sdtEndPr>
    <w:sdtContent>
      <w:p w14:paraId="44EDD8F9" w14:textId="624AE37D" w:rsidR="005F76BD" w:rsidRPr="00463BB9" w:rsidRDefault="005F76BD" w:rsidP="001C4915">
        <w:pPr>
          <w:pStyle w:val="Header"/>
          <w:framePr w:wrap="none" w:vAnchor="text" w:hAnchor="margin" w:xAlign="right" w:y="1"/>
          <w:rPr>
            <w:rStyle w:val="PageNumber"/>
            <w:rFonts w:ascii="Times New Roman" w:hAnsi="Times New Roman" w:cs="Times New Roman"/>
          </w:rPr>
        </w:pPr>
        <w:r w:rsidRPr="00463BB9">
          <w:rPr>
            <w:rStyle w:val="PageNumber"/>
            <w:rFonts w:ascii="Times New Roman" w:hAnsi="Times New Roman" w:cs="Times New Roman"/>
          </w:rPr>
          <w:fldChar w:fldCharType="begin"/>
        </w:r>
        <w:r w:rsidRPr="00463BB9">
          <w:rPr>
            <w:rStyle w:val="PageNumber"/>
            <w:rFonts w:ascii="Times New Roman" w:hAnsi="Times New Roman" w:cs="Times New Roman"/>
          </w:rPr>
          <w:instrText xml:space="preserve"> PAGE </w:instrText>
        </w:r>
        <w:r w:rsidRPr="00463BB9">
          <w:rPr>
            <w:rStyle w:val="PageNumber"/>
            <w:rFonts w:ascii="Times New Roman" w:hAnsi="Times New Roman" w:cs="Times New Roman"/>
          </w:rPr>
          <w:fldChar w:fldCharType="separate"/>
        </w:r>
        <w:r w:rsidRPr="00463BB9">
          <w:rPr>
            <w:rStyle w:val="PageNumber"/>
            <w:rFonts w:ascii="Times New Roman" w:hAnsi="Times New Roman" w:cs="Times New Roman"/>
            <w:noProof/>
          </w:rPr>
          <w:t>1</w:t>
        </w:r>
        <w:r w:rsidRPr="00463BB9">
          <w:rPr>
            <w:rStyle w:val="PageNumber"/>
            <w:rFonts w:ascii="Times New Roman" w:hAnsi="Times New Roman" w:cs="Times New Roman"/>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1058B2"/>
    <w:rsid w:val="00156EFA"/>
    <w:rsid w:val="00173BC9"/>
    <w:rsid w:val="00196B1D"/>
    <w:rsid w:val="001C6689"/>
    <w:rsid w:val="001F3332"/>
    <w:rsid w:val="00261D3D"/>
    <w:rsid w:val="00286CD4"/>
    <w:rsid w:val="002B0389"/>
    <w:rsid w:val="002E3251"/>
    <w:rsid w:val="0030172C"/>
    <w:rsid w:val="0030247B"/>
    <w:rsid w:val="00373DA4"/>
    <w:rsid w:val="0040106F"/>
    <w:rsid w:val="00455F6F"/>
    <w:rsid w:val="00463BB9"/>
    <w:rsid w:val="004A1190"/>
    <w:rsid w:val="005655FE"/>
    <w:rsid w:val="005F76BD"/>
    <w:rsid w:val="006516BF"/>
    <w:rsid w:val="00655776"/>
    <w:rsid w:val="006A29AC"/>
    <w:rsid w:val="0072228A"/>
    <w:rsid w:val="007C25F5"/>
    <w:rsid w:val="007C6EAE"/>
    <w:rsid w:val="0083320E"/>
    <w:rsid w:val="008A75D9"/>
    <w:rsid w:val="008B3C76"/>
    <w:rsid w:val="00904217"/>
    <w:rsid w:val="0090541E"/>
    <w:rsid w:val="00910310"/>
    <w:rsid w:val="0091704D"/>
    <w:rsid w:val="009466B0"/>
    <w:rsid w:val="00967EC3"/>
    <w:rsid w:val="00974E8D"/>
    <w:rsid w:val="00A177B5"/>
    <w:rsid w:val="00A50B67"/>
    <w:rsid w:val="00AD04F3"/>
    <w:rsid w:val="00BF6F77"/>
    <w:rsid w:val="00C015ED"/>
    <w:rsid w:val="00C63EDF"/>
    <w:rsid w:val="00C7547A"/>
    <w:rsid w:val="00CF1497"/>
    <w:rsid w:val="00CF2792"/>
    <w:rsid w:val="00D37CDD"/>
    <w:rsid w:val="00D94ED4"/>
    <w:rsid w:val="00DB2CE2"/>
    <w:rsid w:val="00E127B4"/>
    <w:rsid w:val="00E56748"/>
    <w:rsid w:val="00EC40B7"/>
    <w:rsid w:val="00ED6ECE"/>
    <w:rsid w:val="00F17F37"/>
    <w:rsid w:val="00F30989"/>
    <w:rsid w:val="00F4624C"/>
    <w:rsid w:val="00FA4A1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8</Pages>
  <Words>8139</Words>
  <Characters>46398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32</cp:revision>
  <dcterms:created xsi:type="dcterms:W3CDTF">2019-11-29T19:56:00Z</dcterms:created>
  <dcterms:modified xsi:type="dcterms:W3CDTF">2019-12-04T06:37:00Z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id="1EV9EIeK"/&gt;&lt;style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