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85181" w14:textId="77777777" w:rsidR="00703502" w:rsidRPr="00703502" w:rsidRDefault="00703502" w:rsidP="00703502">
      <w:pPr>
        <w:rPr>
          <w:b/>
          <w:bCs/>
        </w:rPr>
      </w:pPr>
      <w:r w:rsidRPr="00703502">
        <w:rPr>
          <w:b/>
          <w:bCs/>
        </w:rPr>
        <w:t xml:space="preserve">Présentation de l'Application </w:t>
      </w:r>
      <w:proofErr w:type="spellStart"/>
      <w:r w:rsidRPr="00703502">
        <w:rPr>
          <w:b/>
          <w:bCs/>
        </w:rPr>
        <w:t>Multirequete</w:t>
      </w:r>
      <w:proofErr w:type="spellEnd"/>
    </w:p>
    <w:p w14:paraId="6EAB817A" w14:textId="77777777" w:rsidR="00703502" w:rsidRPr="00703502" w:rsidRDefault="00703502" w:rsidP="00703502">
      <w:pPr>
        <w:rPr>
          <w:b/>
          <w:bCs/>
        </w:rPr>
      </w:pPr>
      <w:r w:rsidRPr="00703502">
        <w:rPr>
          <w:b/>
          <w:bCs/>
        </w:rPr>
        <w:t>1. Écran Principal : Le Hub de Pilotage</w:t>
      </w:r>
    </w:p>
    <w:p w14:paraId="44930754" w14:textId="77777777" w:rsidR="00703502" w:rsidRPr="00703502" w:rsidRDefault="00703502" w:rsidP="00703502">
      <w:r w:rsidRPr="00703502">
        <w:t>Cet écran permet de sélectionner les cibles (bases Oracle ou fichiers SQLite), de choisir la requête SQL à lancer et de suivre l'exécution en direct.</w:t>
      </w:r>
    </w:p>
    <w:p w14:paraId="578CEB78" w14:textId="47661CCC" w:rsidR="00703502" w:rsidRPr="00703502" w:rsidRDefault="00703502" w:rsidP="00703502"/>
    <w:p w14:paraId="54323F26" w14:textId="77777777" w:rsidR="00703502" w:rsidRPr="00703502" w:rsidRDefault="00703502" w:rsidP="00703502">
      <w:pPr>
        <w:numPr>
          <w:ilvl w:val="0"/>
          <w:numId w:val="1"/>
        </w:numPr>
      </w:pPr>
      <w:r w:rsidRPr="00703502">
        <w:rPr>
          <w:b/>
          <w:bCs/>
        </w:rPr>
        <w:t>Aperçu Général :</w:t>
      </w:r>
      <w:r w:rsidRPr="00703502">
        <w:t xml:space="preserve"> Une fenêtre </w:t>
      </w:r>
      <w:proofErr w:type="spellStart"/>
      <w:r w:rsidRPr="00703502">
        <w:t>Toplevel</w:t>
      </w:r>
      <w:proofErr w:type="spellEnd"/>
      <w:r w:rsidRPr="00703502">
        <w:t xml:space="preserve"> (image 1) avec un menu de sélection de SGBD (Oracle, MySQL, SQLite, PostgreSQL).</w:t>
      </w:r>
    </w:p>
    <w:p w14:paraId="26AD6581" w14:textId="77777777" w:rsidR="00703502" w:rsidRPr="00703502" w:rsidRDefault="00703502" w:rsidP="00703502">
      <w:pPr>
        <w:numPr>
          <w:ilvl w:val="0"/>
          <w:numId w:val="1"/>
        </w:numPr>
      </w:pPr>
      <w:r w:rsidRPr="00703502">
        <w:rPr>
          <w:b/>
          <w:bCs/>
        </w:rPr>
        <w:t>Sélection de Cibles Dynamique :</w:t>
      </w:r>
      <w:r w:rsidRPr="00703502">
        <w:t xml:space="preserve"> Selon le SGBD choisi, l'interface change. En mode Oracle (image 1), deux colonnes </w:t>
      </w:r>
      <w:proofErr w:type="spellStart"/>
      <w:r w:rsidRPr="00703502">
        <w:t>Listbox</w:t>
      </w:r>
      <w:proofErr w:type="spellEnd"/>
      <w:r w:rsidRPr="00703502">
        <w:t xml:space="preserve"> s'affichent pour sélectionner les Schémas et les Grappes.</w:t>
      </w:r>
    </w:p>
    <w:p w14:paraId="651BD164" w14:textId="77777777" w:rsidR="00703502" w:rsidRDefault="00703502" w:rsidP="00703502">
      <w:pPr>
        <w:numPr>
          <w:ilvl w:val="0"/>
          <w:numId w:val="1"/>
        </w:numPr>
      </w:pPr>
      <w:r w:rsidRPr="00703502">
        <w:rPr>
          <w:b/>
          <w:bCs/>
        </w:rPr>
        <w:t>Suivi de l'Exécution :</w:t>
      </w:r>
      <w:r w:rsidRPr="00703502">
        <w:t xml:space="preserve"> La Console d'exécution (un champ </w:t>
      </w:r>
      <w:proofErr w:type="spellStart"/>
      <w:r w:rsidRPr="00703502">
        <w:t>Text</w:t>
      </w:r>
      <w:proofErr w:type="spellEnd"/>
      <w:r w:rsidRPr="00703502">
        <w:t xml:space="preserve"> cyan, image 1) affiche les logs de connexion, les succès de génération CSV et les erreurs en direct, pour une meilleure traçabilité.</w:t>
      </w:r>
    </w:p>
    <w:p w14:paraId="19464F69" w14:textId="53F18878" w:rsidR="00703502" w:rsidRPr="00703502" w:rsidRDefault="00703502" w:rsidP="00703502">
      <w:r w:rsidRPr="00703502">
        <w:rPr>
          <w:noProof/>
        </w:rPr>
        <w:drawing>
          <wp:inline distT="0" distB="0" distL="0" distR="0" wp14:anchorId="740D345D" wp14:editId="4224094A">
            <wp:extent cx="5760720" cy="4681220"/>
            <wp:effectExtent l="0" t="0" r="0" b="5080"/>
            <wp:docPr id="2003489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89792" name=""/>
                    <pic:cNvPicPr/>
                  </pic:nvPicPr>
                  <pic:blipFill>
                    <a:blip r:embed="rId8"/>
                    <a:stretch>
                      <a:fillRect/>
                    </a:stretch>
                  </pic:blipFill>
                  <pic:spPr>
                    <a:xfrm>
                      <a:off x="0" y="0"/>
                      <a:ext cx="5760720" cy="4681220"/>
                    </a:xfrm>
                    <a:prstGeom prst="rect">
                      <a:avLst/>
                    </a:prstGeom>
                  </pic:spPr>
                </pic:pic>
              </a:graphicData>
            </a:graphic>
          </wp:inline>
        </w:drawing>
      </w:r>
    </w:p>
    <w:p w14:paraId="773CC6C3" w14:textId="31C41469" w:rsidR="00703502" w:rsidRDefault="00703502" w:rsidP="00703502"/>
    <w:p w14:paraId="6620C0A8" w14:textId="0BFCA1B0" w:rsidR="00C073BF" w:rsidRPr="00C073BF" w:rsidRDefault="00C073BF" w:rsidP="00C073BF">
      <w:pPr>
        <w:rPr>
          <w:b/>
          <w:bCs/>
        </w:rPr>
      </w:pPr>
      <w:r>
        <w:rPr>
          <w:b/>
          <w:bCs/>
        </w:rPr>
        <w:t>1.</w:t>
      </w:r>
      <w:r w:rsidRPr="00C073BF">
        <w:rPr>
          <w:b/>
          <w:bCs/>
        </w:rPr>
        <w:t>Gestion des Cibles (Schémas et Serveurs)</w:t>
      </w:r>
    </w:p>
    <w:p w14:paraId="118BDB07" w14:textId="62D5F87C" w:rsidR="00C073BF" w:rsidRPr="00C073BF" w:rsidRDefault="00C073BF" w:rsidP="00C073BF">
      <w:r w:rsidRPr="00C073BF">
        <w:lastRenderedPageBreak/>
        <w:t>Cette</w:t>
      </w:r>
      <w:r w:rsidRPr="00C073BF">
        <w:t xml:space="preserve"> partie permet d'enregistrer chaque environnement</w:t>
      </w:r>
      <w:r>
        <w:t xml:space="preserve"> BDD</w:t>
      </w:r>
      <w:r w:rsidRPr="00C073BF">
        <w:t>. Pour une base Oracle, par exemple, on définit :</w:t>
      </w:r>
    </w:p>
    <w:p w14:paraId="3D5E67E5" w14:textId="77777777" w:rsidR="00C073BF" w:rsidRPr="00C073BF" w:rsidRDefault="00C073BF" w:rsidP="00C073BF">
      <w:pPr>
        <w:numPr>
          <w:ilvl w:val="0"/>
          <w:numId w:val="6"/>
        </w:numPr>
      </w:pPr>
      <w:r w:rsidRPr="00C073BF">
        <w:rPr>
          <w:b/>
          <w:bCs/>
        </w:rPr>
        <w:t>Le Libellé</w:t>
      </w:r>
      <w:r w:rsidRPr="00C073BF">
        <w:t xml:space="preserve"> : Nom explicite (</w:t>
      </w:r>
      <w:proofErr w:type="gramStart"/>
      <w:r w:rsidRPr="00C073BF">
        <w:t>ex:</w:t>
      </w:r>
      <w:proofErr w:type="gramEnd"/>
      <w:r w:rsidRPr="00C073BF">
        <w:t xml:space="preserve"> "Production Compta").</w:t>
      </w:r>
    </w:p>
    <w:p w14:paraId="69C4998D" w14:textId="77777777" w:rsidR="00C073BF" w:rsidRPr="00C073BF" w:rsidRDefault="00C073BF" w:rsidP="00C073BF">
      <w:pPr>
        <w:numPr>
          <w:ilvl w:val="0"/>
          <w:numId w:val="6"/>
        </w:numPr>
      </w:pPr>
      <w:r w:rsidRPr="00C073BF">
        <w:rPr>
          <w:b/>
          <w:bCs/>
        </w:rPr>
        <w:t>L'Host / IP</w:t>
      </w:r>
      <w:r w:rsidRPr="00C073BF">
        <w:t xml:space="preserve"> : L'adresse du serveur.</w:t>
      </w:r>
    </w:p>
    <w:p w14:paraId="36439C80" w14:textId="77777777" w:rsidR="00C073BF" w:rsidRPr="00C073BF" w:rsidRDefault="00C073BF" w:rsidP="00C073BF">
      <w:pPr>
        <w:numPr>
          <w:ilvl w:val="0"/>
          <w:numId w:val="6"/>
        </w:numPr>
      </w:pPr>
      <w:r w:rsidRPr="00C073BF">
        <w:rPr>
          <w:b/>
          <w:bCs/>
        </w:rPr>
        <w:t>Le Service Name / SID</w:t>
      </w:r>
      <w:r w:rsidRPr="00C073BF">
        <w:t xml:space="preserve"> : L'instance de la base.</w:t>
      </w:r>
    </w:p>
    <w:p w14:paraId="5AD7B204" w14:textId="77777777" w:rsidR="00C073BF" w:rsidRDefault="00C073BF" w:rsidP="00C073BF">
      <w:pPr>
        <w:numPr>
          <w:ilvl w:val="0"/>
          <w:numId w:val="6"/>
        </w:numPr>
      </w:pPr>
      <w:r w:rsidRPr="00C073BF">
        <w:rPr>
          <w:b/>
          <w:bCs/>
        </w:rPr>
        <w:t>Le Schéma</w:t>
      </w:r>
      <w:r w:rsidRPr="00C073BF">
        <w:t xml:space="preserve"> : L'utilisateur propriétaire des données.</w:t>
      </w:r>
    </w:p>
    <w:p w14:paraId="493559A0" w14:textId="41DD6384" w:rsidR="00C073BF" w:rsidRDefault="00C073BF" w:rsidP="00C073BF">
      <w:r w:rsidRPr="00C073BF">
        <w:drawing>
          <wp:inline distT="0" distB="0" distL="0" distR="0" wp14:anchorId="653F920C" wp14:editId="3E7DB71A">
            <wp:extent cx="5760720" cy="3909060"/>
            <wp:effectExtent l="0" t="0" r="0" b="0"/>
            <wp:docPr id="475888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88400" name=""/>
                    <pic:cNvPicPr/>
                  </pic:nvPicPr>
                  <pic:blipFill>
                    <a:blip r:embed="rId9"/>
                    <a:stretch>
                      <a:fillRect/>
                    </a:stretch>
                  </pic:blipFill>
                  <pic:spPr>
                    <a:xfrm>
                      <a:off x="0" y="0"/>
                      <a:ext cx="5760720" cy="3909060"/>
                    </a:xfrm>
                    <a:prstGeom prst="rect">
                      <a:avLst/>
                    </a:prstGeom>
                  </pic:spPr>
                </pic:pic>
              </a:graphicData>
            </a:graphic>
          </wp:inline>
        </w:drawing>
      </w:r>
    </w:p>
    <w:p w14:paraId="7A8CD510" w14:textId="55C44124" w:rsidR="00C073BF" w:rsidRDefault="00C073BF" w:rsidP="00C073BF">
      <w:r>
        <w:t>Pour une base SQLite on renseignera que le chemin vers la base local</w:t>
      </w:r>
    </w:p>
    <w:p w14:paraId="53E43062" w14:textId="77777777" w:rsidR="00C073BF" w:rsidRDefault="00C073BF" w:rsidP="00C073BF"/>
    <w:p w14:paraId="32641AD3" w14:textId="06811456" w:rsidR="00C073BF" w:rsidRPr="00C073BF" w:rsidRDefault="00C073BF" w:rsidP="00C073BF">
      <w:r w:rsidRPr="00C073BF">
        <w:lastRenderedPageBreak/>
        <w:drawing>
          <wp:inline distT="0" distB="0" distL="0" distR="0" wp14:anchorId="20F5E1B0" wp14:editId="1BCCDFA6">
            <wp:extent cx="5760720" cy="3764280"/>
            <wp:effectExtent l="0" t="0" r="0" b="7620"/>
            <wp:docPr id="461787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87400" name=""/>
                    <pic:cNvPicPr/>
                  </pic:nvPicPr>
                  <pic:blipFill>
                    <a:blip r:embed="rId10"/>
                    <a:stretch>
                      <a:fillRect/>
                    </a:stretch>
                  </pic:blipFill>
                  <pic:spPr>
                    <a:xfrm>
                      <a:off x="0" y="0"/>
                      <a:ext cx="5760720" cy="3764280"/>
                    </a:xfrm>
                    <a:prstGeom prst="rect">
                      <a:avLst/>
                    </a:prstGeom>
                  </pic:spPr>
                </pic:pic>
              </a:graphicData>
            </a:graphic>
          </wp:inline>
        </w:drawing>
      </w:r>
    </w:p>
    <w:p w14:paraId="1FD5234A" w14:textId="3F57DE49" w:rsidR="00C073BF" w:rsidRPr="00C073BF" w:rsidRDefault="00C073BF" w:rsidP="00C073BF">
      <w:pPr>
        <w:ind w:firstLine="360"/>
        <w:rPr>
          <w:b/>
          <w:bCs/>
        </w:rPr>
      </w:pPr>
      <w:r w:rsidRPr="00C073BF">
        <w:rPr>
          <w:b/>
          <w:bCs/>
        </w:rPr>
        <w:t xml:space="preserve">Les </w:t>
      </w:r>
      <w:proofErr w:type="spellStart"/>
      <w:r>
        <w:rPr>
          <w:b/>
          <w:bCs/>
        </w:rPr>
        <w:t>Schemas</w:t>
      </w:r>
      <w:proofErr w:type="spellEnd"/>
    </w:p>
    <w:p w14:paraId="4EB78D92" w14:textId="29B6F826" w:rsidR="00C073BF" w:rsidRDefault="00C073BF" w:rsidP="00C073BF">
      <w:r w:rsidRPr="00C073BF">
        <w:t xml:space="preserve">C'est une fonctionnalité </w:t>
      </w:r>
      <w:r>
        <w:t>permet de définir un ensemble de schéma disponible sur la BDD correspondante</w:t>
      </w:r>
    </w:p>
    <w:p w14:paraId="79A47DD4" w14:textId="77777777" w:rsidR="00C073BF" w:rsidRPr="00C073BF" w:rsidRDefault="00C073BF" w:rsidP="00C073BF">
      <w:r w:rsidRPr="00C073BF">
        <w:t>, on définit :</w:t>
      </w:r>
    </w:p>
    <w:p w14:paraId="367C2A3F" w14:textId="464974B8" w:rsidR="00C073BF" w:rsidRPr="00C073BF" w:rsidRDefault="00C073BF" w:rsidP="00C073BF">
      <w:pPr>
        <w:numPr>
          <w:ilvl w:val="0"/>
          <w:numId w:val="6"/>
        </w:numPr>
      </w:pPr>
      <w:r w:rsidRPr="00C073BF">
        <w:rPr>
          <w:b/>
          <w:bCs/>
        </w:rPr>
        <w:t>Le</w:t>
      </w:r>
      <w:r>
        <w:rPr>
          <w:b/>
          <w:bCs/>
        </w:rPr>
        <w:t xml:space="preserve"> code </w:t>
      </w:r>
      <w:proofErr w:type="gramStart"/>
      <w:r>
        <w:rPr>
          <w:b/>
          <w:bCs/>
        </w:rPr>
        <w:t>schéma</w:t>
      </w:r>
      <w:r w:rsidRPr="00C073BF">
        <w:t>:</w:t>
      </w:r>
      <w:proofErr w:type="gramEnd"/>
      <w:r w:rsidRPr="00C073BF">
        <w:t xml:space="preserve"> </w:t>
      </w:r>
      <w:r>
        <w:t xml:space="preserve"> en général le code magasin ou un libelle pour le </w:t>
      </w:r>
      <w:proofErr w:type="spellStart"/>
      <w:r>
        <w:t>schema</w:t>
      </w:r>
      <w:proofErr w:type="spellEnd"/>
    </w:p>
    <w:p w14:paraId="546D9305" w14:textId="6B43F2A3" w:rsidR="00C073BF" w:rsidRPr="00C073BF" w:rsidRDefault="00C073BF" w:rsidP="00C073BF">
      <w:pPr>
        <w:numPr>
          <w:ilvl w:val="0"/>
          <w:numId w:val="6"/>
        </w:numPr>
      </w:pPr>
      <w:r>
        <w:rPr>
          <w:b/>
          <w:bCs/>
        </w:rPr>
        <w:t>Schema SQL</w:t>
      </w:r>
      <w:r w:rsidRPr="00C073BF">
        <w:t xml:space="preserve"> : </w:t>
      </w:r>
      <w:r>
        <w:t xml:space="preserve">le Schema oracle ou </w:t>
      </w:r>
      <w:proofErr w:type="spellStart"/>
      <w:r>
        <w:t>progressSQL</w:t>
      </w:r>
      <w:proofErr w:type="spellEnd"/>
    </w:p>
    <w:p w14:paraId="0AAE0262" w14:textId="3B4A6AE2" w:rsidR="00C073BF" w:rsidRPr="00C073BF" w:rsidRDefault="00C073BF" w:rsidP="00C073BF">
      <w:pPr>
        <w:numPr>
          <w:ilvl w:val="0"/>
          <w:numId w:val="6"/>
        </w:numPr>
      </w:pPr>
      <w:r w:rsidRPr="00C073BF">
        <w:rPr>
          <w:b/>
          <w:bCs/>
        </w:rPr>
        <w:t xml:space="preserve">Le </w:t>
      </w:r>
      <w:r>
        <w:rPr>
          <w:b/>
          <w:bCs/>
        </w:rPr>
        <w:t>serveur lié</w:t>
      </w:r>
      <w:r w:rsidRPr="00C073BF">
        <w:t xml:space="preserve"> : </w:t>
      </w:r>
      <w:r>
        <w:t xml:space="preserve">on sélectionne le serveur BDD prédéfini dans la configuration BDD </w:t>
      </w:r>
      <w:proofErr w:type="gramStart"/>
      <w:r>
        <w:t>( partie</w:t>
      </w:r>
      <w:proofErr w:type="gramEnd"/>
      <w:r>
        <w:t xml:space="preserve"> </w:t>
      </w:r>
      <w:proofErr w:type="spellStart"/>
      <w:r>
        <w:t>au dessus</w:t>
      </w:r>
      <w:proofErr w:type="spellEnd"/>
      <w:r>
        <w:t>)</w:t>
      </w:r>
    </w:p>
    <w:p w14:paraId="1D1CEC5D" w14:textId="77777777" w:rsidR="00C073BF" w:rsidRDefault="00C073BF" w:rsidP="00C073BF"/>
    <w:p w14:paraId="0C2B6650" w14:textId="77777777" w:rsidR="00C073BF" w:rsidRDefault="00C073BF" w:rsidP="00C073BF"/>
    <w:p w14:paraId="4D899D9A" w14:textId="592FB06E" w:rsidR="00C073BF" w:rsidRPr="00C073BF" w:rsidRDefault="00C073BF" w:rsidP="00C073BF">
      <w:r w:rsidRPr="00C073BF">
        <w:drawing>
          <wp:inline distT="0" distB="0" distL="0" distR="0" wp14:anchorId="159041E8" wp14:editId="10BF88BC">
            <wp:extent cx="5760720" cy="1753870"/>
            <wp:effectExtent l="0" t="0" r="0" b="0"/>
            <wp:docPr id="20888704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70408" name=""/>
                    <pic:cNvPicPr/>
                  </pic:nvPicPr>
                  <pic:blipFill>
                    <a:blip r:embed="rId11"/>
                    <a:stretch>
                      <a:fillRect/>
                    </a:stretch>
                  </pic:blipFill>
                  <pic:spPr>
                    <a:xfrm>
                      <a:off x="0" y="0"/>
                      <a:ext cx="5760720" cy="1753870"/>
                    </a:xfrm>
                    <a:prstGeom prst="rect">
                      <a:avLst/>
                    </a:prstGeom>
                  </pic:spPr>
                </pic:pic>
              </a:graphicData>
            </a:graphic>
          </wp:inline>
        </w:drawing>
      </w:r>
    </w:p>
    <w:p w14:paraId="453DB373" w14:textId="77777777" w:rsidR="00C073BF" w:rsidRPr="00C073BF" w:rsidRDefault="00C073BF" w:rsidP="00C073BF">
      <w:pPr>
        <w:rPr>
          <w:b/>
          <w:bCs/>
        </w:rPr>
      </w:pPr>
      <w:r w:rsidRPr="00C073BF">
        <w:rPr>
          <w:b/>
          <w:bCs/>
        </w:rPr>
        <w:lastRenderedPageBreak/>
        <w:t>3. Sécurité des Identifiants</w:t>
      </w:r>
    </w:p>
    <w:p w14:paraId="6B1A0FF4" w14:textId="77777777" w:rsidR="00C073BF" w:rsidRPr="00C073BF" w:rsidRDefault="00C073BF" w:rsidP="00C073BF">
      <w:r w:rsidRPr="00C073BF">
        <w:t>L'application est conçue pour être distribuée sans stocker les mots de passe "en dur" dans la configuration (ce qui serait une faille de sécurité).</w:t>
      </w:r>
    </w:p>
    <w:p w14:paraId="61E2E0ED" w14:textId="77777777" w:rsidR="00C073BF" w:rsidRPr="00C073BF" w:rsidRDefault="00C073BF" w:rsidP="00C073BF">
      <w:pPr>
        <w:numPr>
          <w:ilvl w:val="0"/>
          <w:numId w:val="8"/>
        </w:numPr>
      </w:pPr>
      <w:r w:rsidRPr="00C073BF">
        <w:t xml:space="preserve">Le paramétrage définit </w:t>
      </w:r>
      <w:r w:rsidRPr="00C073BF">
        <w:rPr>
          <w:b/>
          <w:bCs/>
        </w:rPr>
        <w:t>"où"</w:t>
      </w:r>
      <w:r w:rsidRPr="00C073BF">
        <w:t xml:space="preserve"> se connecter.</w:t>
      </w:r>
    </w:p>
    <w:p w14:paraId="57DBC37B" w14:textId="77777777" w:rsidR="00C073BF" w:rsidRPr="00C073BF" w:rsidRDefault="00C073BF" w:rsidP="00C073BF">
      <w:pPr>
        <w:numPr>
          <w:ilvl w:val="0"/>
          <w:numId w:val="8"/>
        </w:numPr>
      </w:pPr>
      <w:r w:rsidRPr="00C073BF">
        <w:t xml:space="preserve">Le mot de passe est demandé de manière sécurisée uniquement au moment du </w:t>
      </w:r>
      <w:r w:rsidRPr="00C073BF">
        <w:rPr>
          <w:b/>
          <w:bCs/>
        </w:rPr>
        <w:t>Lancement des Sondes</w:t>
      </w:r>
      <w:r w:rsidRPr="00C073BF">
        <w:t xml:space="preserve"> ou des </w:t>
      </w:r>
      <w:r w:rsidRPr="00C073BF">
        <w:rPr>
          <w:b/>
          <w:bCs/>
        </w:rPr>
        <w:t>Requêtes</w:t>
      </w:r>
      <w:r w:rsidRPr="00C073BF">
        <w:t>, garantissant que seuls les utilisateurs habilités peuvent exécuter l'outil.</w:t>
      </w:r>
    </w:p>
    <w:p w14:paraId="704899CF" w14:textId="77777777" w:rsidR="00C073BF" w:rsidRPr="00703502" w:rsidRDefault="00C073BF" w:rsidP="00703502"/>
    <w:p w14:paraId="71A21415" w14:textId="27CE55F3" w:rsidR="00703502" w:rsidRPr="00703502" w:rsidRDefault="00703502" w:rsidP="00703502">
      <w:pPr>
        <w:rPr>
          <w:b/>
          <w:bCs/>
        </w:rPr>
      </w:pPr>
      <w:r w:rsidRPr="00703502">
        <w:rPr>
          <w:b/>
          <w:bCs/>
        </w:rPr>
        <w:t>2. Paramétrage des Sondes : L'Atelier de Création</w:t>
      </w:r>
    </w:p>
    <w:p w14:paraId="71E96389" w14:textId="77777777" w:rsidR="00703502" w:rsidRPr="00703502" w:rsidRDefault="00703502" w:rsidP="00703502">
      <w:r w:rsidRPr="00703502">
        <w:t>Accessible via le bouton principal (image 1), cette fenêtre est dédiée à la définition et à l'organisation des sondes de supervision.</w:t>
      </w:r>
    </w:p>
    <w:p w14:paraId="219C6CFE" w14:textId="1564A445" w:rsidR="00703502" w:rsidRPr="00703502" w:rsidRDefault="00703502" w:rsidP="00703502">
      <w:r w:rsidRPr="00703502">
        <w:rPr>
          <w:noProof/>
        </w:rPr>
        <w:drawing>
          <wp:inline distT="0" distB="0" distL="0" distR="0" wp14:anchorId="50FEB7B8" wp14:editId="6934A040">
            <wp:extent cx="5760720" cy="5231130"/>
            <wp:effectExtent l="0" t="0" r="0" b="7620"/>
            <wp:docPr id="2352682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68231" name=""/>
                    <pic:cNvPicPr/>
                  </pic:nvPicPr>
                  <pic:blipFill>
                    <a:blip r:embed="rId12"/>
                    <a:stretch>
                      <a:fillRect/>
                    </a:stretch>
                  </pic:blipFill>
                  <pic:spPr>
                    <a:xfrm>
                      <a:off x="0" y="0"/>
                      <a:ext cx="5760720" cy="5231130"/>
                    </a:xfrm>
                    <a:prstGeom prst="rect">
                      <a:avLst/>
                    </a:prstGeom>
                  </pic:spPr>
                </pic:pic>
              </a:graphicData>
            </a:graphic>
          </wp:inline>
        </w:drawing>
      </w:r>
    </w:p>
    <w:p w14:paraId="090E073F" w14:textId="22F4A7B8" w:rsidR="00703502" w:rsidRPr="00703502" w:rsidRDefault="00703502" w:rsidP="00703502">
      <w:pPr>
        <w:numPr>
          <w:ilvl w:val="0"/>
          <w:numId w:val="2"/>
        </w:numPr>
      </w:pPr>
      <w:r w:rsidRPr="00703502">
        <w:rPr>
          <w:b/>
          <w:bCs/>
        </w:rPr>
        <w:t>Aperçu Général :</w:t>
      </w:r>
      <w:r w:rsidRPr="00703502">
        <w:t xml:space="preserve"> Une fenêtre dédiée à la création et à l'organisation des sondes de supervision.</w:t>
      </w:r>
    </w:p>
    <w:p w14:paraId="7A38AD7C" w14:textId="77C42C11" w:rsidR="00703502" w:rsidRPr="00703502" w:rsidRDefault="00703502" w:rsidP="00703502">
      <w:pPr>
        <w:numPr>
          <w:ilvl w:val="0"/>
          <w:numId w:val="2"/>
        </w:numPr>
      </w:pPr>
      <w:r w:rsidRPr="00703502">
        <w:rPr>
          <w:b/>
          <w:bCs/>
        </w:rPr>
        <w:lastRenderedPageBreak/>
        <w:t xml:space="preserve">Détails Techniques de la </w:t>
      </w:r>
      <w:proofErr w:type="gramStart"/>
      <w:r w:rsidRPr="00703502">
        <w:rPr>
          <w:b/>
          <w:bCs/>
        </w:rPr>
        <w:t xml:space="preserve">Sonde </w:t>
      </w:r>
      <w:r>
        <w:rPr>
          <w:b/>
          <w:bCs/>
        </w:rPr>
        <w:t xml:space="preserve"> </w:t>
      </w:r>
      <w:r w:rsidRPr="00703502">
        <w:t>pour</w:t>
      </w:r>
      <w:proofErr w:type="gramEnd"/>
      <w:r w:rsidRPr="00703502">
        <w:t xml:space="preserve"> remplir les champs essentiels : Nom de la sonde, Type (Fonctionnelle, Technique), et la Fonction associée (avec possibilité d'ajouter des fonctions via une popup).</w:t>
      </w:r>
    </w:p>
    <w:p w14:paraId="6B6477B0" w14:textId="77777777" w:rsidR="00703502" w:rsidRPr="00703502" w:rsidRDefault="00703502" w:rsidP="00703502">
      <w:pPr>
        <w:numPr>
          <w:ilvl w:val="0"/>
          <w:numId w:val="2"/>
        </w:numPr>
      </w:pPr>
      <w:r w:rsidRPr="00703502">
        <w:rPr>
          <w:b/>
          <w:bCs/>
        </w:rPr>
        <w:t>Lien MOP et Alerte :</w:t>
      </w:r>
      <w:r w:rsidRPr="00703502">
        <w:t xml:space="preserve"> La section intègre le niveau d'alerte (Mineur, Majeur, Critique) et le champ Lien MOP (image 2). Ce champ permet de stocker un chemin local (fichier de Mode opératoire) ou une URL, facilitant l'accès aux procédures en cas de problème.</w:t>
      </w:r>
    </w:p>
    <w:p w14:paraId="08508EB5" w14:textId="2DE981FF" w:rsidR="00703502" w:rsidRPr="00703502" w:rsidRDefault="00703502" w:rsidP="00703502">
      <w:pPr>
        <w:numPr>
          <w:ilvl w:val="0"/>
          <w:numId w:val="2"/>
        </w:numPr>
      </w:pPr>
      <w:r w:rsidRPr="00703502">
        <w:rPr>
          <w:b/>
          <w:bCs/>
        </w:rPr>
        <w:t>Requête SQL :</w:t>
      </w:r>
      <w:r w:rsidRPr="00703502">
        <w:t xml:space="preserve"> </w:t>
      </w:r>
      <w:r>
        <w:t>O</w:t>
      </w:r>
      <w:r w:rsidRPr="00703502">
        <w:t>ù la requête SQL de la sonde est rédigée.</w:t>
      </w:r>
    </w:p>
    <w:p w14:paraId="157F5B4C" w14:textId="77777777" w:rsidR="00703502" w:rsidRPr="00703502" w:rsidRDefault="00703502" w:rsidP="00703502">
      <w:pPr>
        <w:numPr>
          <w:ilvl w:val="0"/>
          <w:numId w:val="2"/>
        </w:numPr>
      </w:pPr>
      <w:r w:rsidRPr="00703502">
        <w:rPr>
          <w:b/>
          <w:bCs/>
        </w:rPr>
        <w:t>Boutons d'Action Clés :</w:t>
      </w:r>
      <w:r w:rsidRPr="00703502">
        <w:t xml:space="preserve"> Les boutons en bas (image 2) permettent d'enregistrer, d'ouvrir l'organisation ou de supprimer la sonde active.</w:t>
      </w:r>
    </w:p>
    <w:p w14:paraId="51DE2629" w14:textId="77777777" w:rsidR="00703502" w:rsidRPr="00703502" w:rsidRDefault="00000000" w:rsidP="00703502">
      <w:r>
        <w:pict w14:anchorId="095E0D93">
          <v:rect id="_x0000_i1026" style="width:0;height:1.5pt" o:hralign="center" o:hrstd="t" o:hr="t" fillcolor="#a0a0a0" stroked="f"/>
        </w:pict>
      </w:r>
    </w:p>
    <w:p w14:paraId="526ACB89" w14:textId="77777777" w:rsidR="00703502" w:rsidRPr="00703502" w:rsidRDefault="00703502" w:rsidP="00703502">
      <w:pPr>
        <w:rPr>
          <w:b/>
          <w:bCs/>
        </w:rPr>
      </w:pPr>
      <w:r w:rsidRPr="00703502">
        <w:rPr>
          <w:b/>
          <w:bCs/>
        </w:rPr>
        <w:t>3. Organisation : Structurer la Supervision</w:t>
      </w:r>
    </w:p>
    <w:p w14:paraId="660F1C09" w14:textId="77777777" w:rsidR="00703502" w:rsidRDefault="00703502" w:rsidP="00703502">
      <w:r w:rsidRPr="00703502">
        <w:t>Une fois les sondes créées (image 2), cette fenêtre permet de les structurer par fonction et de définir leur ordre de lancement.</w:t>
      </w:r>
    </w:p>
    <w:p w14:paraId="3FDBBBC9" w14:textId="4465C6FE" w:rsidR="00703502" w:rsidRDefault="00703502" w:rsidP="00703502">
      <w:proofErr w:type="gramStart"/>
      <w:r>
        <w:t>Apres</w:t>
      </w:r>
      <w:proofErr w:type="gramEnd"/>
      <w:r>
        <w:t xml:space="preserve"> avoir choisi le type de BDD pour filtrer les sondes correspondantes</w:t>
      </w:r>
    </w:p>
    <w:p w14:paraId="1C710190" w14:textId="36F61137" w:rsidR="00703502" w:rsidRDefault="00703502" w:rsidP="00703502">
      <w:r w:rsidRPr="00703502">
        <w:rPr>
          <w:noProof/>
        </w:rPr>
        <w:drawing>
          <wp:inline distT="0" distB="0" distL="0" distR="0" wp14:anchorId="18FF32C4" wp14:editId="114B3D22">
            <wp:extent cx="3384290" cy="1966547"/>
            <wp:effectExtent l="0" t="0" r="6985" b="0"/>
            <wp:docPr id="2391691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69119" name=""/>
                    <pic:cNvPicPr/>
                  </pic:nvPicPr>
                  <pic:blipFill>
                    <a:blip r:embed="rId13"/>
                    <a:stretch>
                      <a:fillRect/>
                    </a:stretch>
                  </pic:blipFill>
                  <pic:spPr>
                    <a:xfrm>
                      <a:off x="0" y="0"/>
                      <a:ext cx="3384290" cy="1966547"/>
                    </a:xfrm>
                    <a:prstGeom prst="rect">
                      <a:avLst/>
                    </a:prstGeom>
                  </pic:spPr>
                </pic:pic>
              </a:graphicData>
            </a:graphic>
          </wp:inline>
        </w:drawing>
      </w:r>
    </w:p>
    <w:p w14:paraId="372C22D6" w14:textId="77777777" w:rsidR="00703502" w:rsidRDefault="00703502" w:rsidP="00703502"/>
    <w:p w14:paraId="68AFE6F7" w14:textId="77FD883B" w:rsidR="00703502" w:rsidRPr="00703502" w:rsidRDefault="00703502" w:rsidP="00703502">
      <w:r>
        <w:t>On arrive sur l’écran principal pour l’organisation</w:t>
      </w:r>
    </w:p>
    <w:p w14:paraId="6CB37A3B" w14:textId="33A85F73" w:rsidR="00703502" w:rsidRPr="00703502" w:rsidRDefault="00703502" w:rsidP="00703502">
      <w:r w:rsidRPr="00703502">
        <w:rPr>
          <w:noProof/>
        </w:rPr>
        <w:lastRenderedPageBreak/>
        <w:drawing>
          <wp:inline distT="0" distB="0" distL="0" distR="0" wp14:anchorId="5D627B8B" wp14:editId="581DDF94">
            <wp:extent cx="5760720" cy="3036570"/>
            <wp:effectExtent l="0" t="0" r="0" b="0"/>
            <wp:docPr id="12959441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4164" name=""/>
                    <pic:cNvPicPr/>
                  </pic:nvPicPr>
                  <pic:blipFill>
                    <a:blip r:embed="rId14"/>
                    <a:stretch>
                      <a:fillRect/>
                    </a:stretch>
                  </pic:blipFill>
                  <pic:spPr>
                    <a:xfrm>
                      <a:off x="0" y="0"/>
                      <a:ext cx="5760720" cy="3036570"/>
                    </a:xfrm>
                    <a:prstGeom prst="rect">
                      <a:avLst/>
                    </a:prstGeom>
                  </pic:spPr>
                </pic:pic>
              </a:graphicData>
            </a:graphic>
          </wp:inline>
        </w:drawing>
      </w:r>
    </w:p>
    <w:p w14:paraId="3C651807" w14:textId="0D1713C0" w:rsidR="00703502" w:rsidRPr="00703502" w:rsidRDefault="00703502" w:rsidP="00703502">
      <w:pPr>
        <w:numPr>
          <w:ilvl w:val="0"/>
          <w:numId w:val="3"/>
        </w:numPr>
      </w:pPr>
      <w:r w:rsidRPr="00703502">
        <w:rPr>
          <w:b/>
          <w:bCs/>
        </w:rPr>
        <w:t>Aperçu Général :</w:t>
      </w:r>
      <w:r w:rsidRPr="00703502">
        <w:t xml:space="preserve"> Une fenêtre (image 3) conçue pour l'organisation visuelle et le tri des sondes.</w:t>
      </w:r>
    </w:p>
    <w:p w14:paraId="0D57A248" w14:textId="495D5E34" w:rsidR="00703502" w:rsidRPr="00703502" w:rsidRDefault="00703502" w:rsidP="00703502">
      <w:pPr>
        <w:numPr>
          <w:ilvl w:val="0"/>
          <w:numId w:val="3"/>
        </w:numPr>
      </w:pPr>
      <w:r w:rsidRPr="00703502">
        <w:rPr>
          <w:b/>
          <w:bCs/>
        </w:rPr>
        <w:t>Structure par Colonnes :</w:t>
      </w:r>
      <w:r w:rsidRPr="00703502">
        <w:t xml:space="preserve"> L'interface d'organisation divise l'espace en deux colonnes : Gauche et Droite. Chaque colonne contient des </w:t>
      </w:r>
      <w:proofErr w:type="spellStart"/>
      <w:r w:rsidRPr="00703502">
        <w:t>LabelFrame</w:t>
      </w:r>
      <w:proofErr w:type="spellEnd"/>
      <w:r w:rsidRPr="00703502">
        <w:t xml:space="preserve"> (définis lors du paramétrage, image 2) correspondant aux fonctions.</w:t>
      </w:r>
    </w:p>
    <w:p w14:paraId="75F9608C" w14:textId="77777777" w:rsidR="00703502" w:rsidRPr="00703502" w:rsidRDefault="00703502" w:rsidP="00703502">
      <w:pPr>
        <w:numPr>
          <w:ilvl w:val="0"/>
          <w:numId w:val="3"/>
        </w:numPr>
      </w:pPr>
      <w:r w:rsidRPr="00703502">
        <w:rPr>
          <w:b/>
          <w:bCs/>
        </w:rPr>
        <w:t>Glisser-Déposer (Drag &amp; Drop) :</w:t>
      </w:r>
      <w:r w:rsidRPr="00703502">
        <w:t xml:space="preserve"> Le cœur du tri est le drag-and-drop (image 3). Un utilisateur peut attraper une sonde par la poignée </w:t>
      </w:r>
      <w:r w:rsidRPr="00703502">
        <w:rPr>
          <w:rFonts w:ascii="Segoe UI Symbol" w:hAnsi="Segoe UI Symbol" w:cs="Segoe UI Symbol"/>
        </w:rPr>
        <w:t>☰</w:t>
      </w:r>
      <w:r w:rsidRPr="00703502">
        <w:t xml:space="preserve"> et la déplacer entre les colonnes ou changer son ordre dans la liste.</w:t>
      </w:r>
    </w:p>
    <w:p w14:paraId="7AF9C421" w14:textId="77777777" w:rsidR="00703502" w:rsidRPr="00703502" w:rsidRDefault="00703502" w:rsidP="00703502">
      <w:pPr>
        <w:numPr>
          <w:ilvl w:val="0"/>
          <w:numId w:val="3"/>
        </w:numPr>
      </w:pPr>
      <w:r w:rsidRPr="00703502">
        <w:rPr>
          <w:b/>
          <w:bCs/>
        </w:rPr>
        <w:t>Bouton d'Enregistrement :</w:t>
      </w:r>
      <w:r w:rsidRPr="00703502">
        <w:t xml:space="preserve"> Un grand bouton </w:t>
      </w:r>
      <w:r w:rsidRPr="00703502">
        <w:rPr>
          <w:rFonts w:ascii="Segoe UI Emoji" w:hAnsi="Segoe UI Emoji" w:cs="Segoe UI Emoji"/>
        </w:rPr>
        <w:t>💾</w:t>
      </w:r>
      <w:r w:rsidRPr="00703502">
        <w:t xml:space="preserve"> ENREGISTRER L'ORGANISATION (image 3) valide les changements d'ordre et de catégorie directement dans la base SQLite.</w:t>
      </w:r>
    </w:p>
    <w:p w14:paraId="4A4D41FD" w14:textId="54903A07" w:rsidR="006E5907" w:rsidRDefault="006E5907" w:rsidP="006E5907">
      <w:pPr>
        <w:rPr>
          <w:b/>
          <w:bCs/>
        </w:rPr>
      </w:pPr>
    </w:p>
    <w:p w14:paraId="65918A43" w14:textId="3C0F11DC" w:rsidR="006E5907" w:rsidRPr="006E5907" w:rsidRDefault="006E5907" w:rsidP="006E5907">
      <w:pPr>
        <w:rPr>
          <w:b/>
          <w:bCs/>
        </w:rPr>
      </w:pPr>
      <w:r>
        <w:rPr>
          <w:b/>
          <w:bCs/>
        </w:rPr>
        <w:t>4</w:t>
      </w:r>
      <w:r w:rsidRPr="00703502">
        <w:rPr>
          <w:b/>
          <w:bCs/>
        </w:rPr>
        <w:t>.</w:t>
      </w:r>
      <w:r w:rsidRPr="006E5907">
        <w:rPr>
          <w:b/>
          <w:bCs/>
        </w:rPr>
        <w:t xml:space="preserve"> Le Processus d'Exécution des Sondes</w:t>
      </w:r>
    </w:p>
    <w:p w14:paraId="5A7A3628" w14:textId="77777777" w:rsidR="006E5907" w:rsidRPr="006E5907" w:rsidRDefault="006E5907" w:rsidP="006E5907">
      <w:r w:rsidRPr="006E5907">
        <w:t xml:space="preserve">Contrairement au bouton "Lancer les requêtes" (qui génère des fichiers CSV individuels), le bouton </w:t>
      </w:r>
      <w:r w:rsidRPr="006E5907">
        <w:rPr>
          <w:b/>
          <w:bCs/>
        </w:rPr>
        <w:t>Lancer les Sondes</w:t>
      </w:r>
      <w:r w:rsidRPr="006E5907">
        <w:t xml:space="preserve"> déclenche un cycle complet de vérification de santé de tes systèmes.</w:t>
      </w:r>
    </w:p>
    <w:p w14:paraId="1D7C958B" w14:textId="77777777" w:rsidR="006E5907" w:rsidRPr="006E5907" w:rsidRDefault="006E5907" w:rsidP="006E5907">
      <w:pPr>
        <w:ind w:left="708"/>
        <w:rPr>
          <w:b/>
          <w:bCs/>
        </w:rPr>
      </w:pPr>
      <w:r w:rsidRPr="006E5907">
        <w:rPr>
          <w:b/>
          <w:bCs/>
        </w:rPr>
        <w:t>1. La Phase de Récupération (SQL)</w:t>
      </w:r>
    </w:p>
    <w:p w14:paraId="4F81B662" w14:textId="77777777" w:rsidR="006E5907" w:rsidRPr="006E5907" w:rsidRDefault="006E5907" w:rsidP="006E5907">
      <w:pPr>
        <w:ind w:left="1068"/>
      </w:pPr>
      <w:r w:rsidRPr="006E5907">
        <w:t>L'application interroge la table sondes de ta base SQLite. Elle ne récupère pas seulement les requêtes SQL, mais aussi :</w:t>
      </w:r>
    </w:p>
    <w:p w14:paraId="3E3EB2FB" w14:textId="77777777" w:rsidR="006E5907" w:rsidRPr="006E5907" w:rsidRDefault="006E5907" w:rsidP="006E5907">
      <w:pPr>
        <w:numPr>
          <w:ilvl w:val="0"/>
          <w:numId w:val="4"/>
        </w:numPr>
        <w:tabs>
          <w:tab w:val="clear" w:pos="720"/>
          <w:tab w:val="num" w:pos="1788"/>
        </w:tabs>
        <w:ind w:left="1788"/>
      </w:pPr>
      <w:r w:rsidRPr="006E5907">
        <w:t xml:space="preserve">Le </w:t>
      </w:r>
      <w:r w:rsidRPr="006E5907">
        <w:rPr>
          <w:b/>
          <w:bCs/>
        </w:rPr>
        <w:t>Niveau d'Alerte</w:t>
      </w:r>
      <w:r w:rsidRPr="006E5907">
        <w:t xml:space="preserve"> (Critique, Majeur, Mineur) pour la coloration.</w:t>
      </w:r>
    </w:p>
    <w:p w14:paraId="066517CF" w14:textId="77777777" w:rsidR="006E5907" w:rsidRPr="006E5907" w:rsidRDefault="006E5907" w:rsidP="006E5907">
      <w:pPr>
        <w:numPr>
          <w:ilvl w:val="0"/>
          <w:numId w:val="4"/>
        </w:numPr>
        <w:tabs>
          <w:tab w:val="clear" w:pos="720"/>
          <w:tab w:val="num" w:pos="1788"/>
        </w:tabs>
        <w:ind w:left="1788"/>
      </w:pPr>
      <w:r w:rsidRPr="006E5907">
        <w:t xml:space="preserve">Le </w:t>
      </w:r>
      <w:r w:rsidRPr="006E5907">
        <w:rPr>
          <w:b/>
          <w:bCs/>
        </w:rPr>
        <w:t>Lien MOP</w:t>
      </w:r>
      <w:r w:rsidRPr="006E5907">
        <w:t xml:space="preserve"> associé pour l'aide à l'exploitation.</w:t>
      </w:r>
    </w:p>
    <w:p w14:paraId="6F4F24C2" w14:textId="77777777" w:rsidR="006E5907" w:rsidRPr="006E5907" w:rsidRDefault="006E5907" w:rsidP="006E5907">
      <w:pPr>
        <w:numPr>
          <w:ilvl w:val="0"/>
          <w:numId w:val="4"/>
        </w:numPr>
        <w:tabs>
          <w:tab w:val="clear" w:pos="720"/>
          <w:tab w:val="num" w:pos="1788"/>
        </w:tabs>
        <w:ind w:left="1788"/>
      </w:pPr>
      <w:r w:rsidRPr="006E5907">
        <w:lastRenderedPageBreak/>
        <w:t>L'</w:t>
      </w:r>
      <w:r w:rsidRPr="006E5907">
        <w:rPr>
          <w:b/>
          <w:bCs/>
        </w:rPr>
        <w:t>Ordre d'affichage</w:t>
      </w:r>
      <w:r w:rsidRPr="006E5907">
        <w:t xml:space="preserve"> et la </w:t>
      </w:r>
      <w:r w:rsidRPr="006E5907">
        <w:rPr>
          <w:b/>
          <w:bCs/>
        </w:rPr>
        <w:t>Fonction</w:t>
      </w:r>
      <w:r w:rsidRPr="006E5907">
        <w:t xml:space="preserve"> (Système, Base, etc.) pour structurer le rapport.</w:t>
      </w:r>
    </w:p>
    <w:p w14:paraId="4A420808" w14:textId="77777777" w:rsidR="006E5907" w:rsidRPr="006E5907" w:rsidRDefault="006E5907" w:rsidP="006E5907">
      <w:pPr>
        <w:ind w:firstLine="708"/>
        <w:rPr>
          <w:b/>
          <w:bCs/>
        </w:rPr>
      </w:pPr>
      <w:r w:rsidRPr="006E5907">
        <w:rPr>
          <w:b/>
          <w:bCs/>
        </w:rPr>
        <w:t>2. Le Moteur d'Exécution (</w:t>
      </w:r>
      <w:proofErr w:type="spellStart"/>
      <w:r w:rsidRPr="006E5907">
        <w:rPr>
          <w:b/>
          <w:bCs/>
        </w:rPr>
        <w:t>ProbeEngine</w:t>
      </w:r>
      <w:proofErr w:type="spellEnd"/>
      <w:r w:rsidRPr="006E5907">
        <w:rPr>
          <w:b/>
          <w:bCs/>
        </w:rPr>
        <w:t>)</w:t>
      </w:r>
    </w:p>
    <w:p w14:paraId="0DABF3F4" w14:textId="77777777" w:rsidR="006E5907" w:rsidRPr="006E5907" w:rsidRDefault="006E5907" w:rsidP="006E5907">
      <w:pPr>
        <w:numPr>
          <w:ilvl w:val="0"/>
          <w:numId w:val="5"/>
        </w:numPr>
      </w:pPr>
      <w:r w:rsidRPr="006E5907">
        <w:rPr>
          <w:b/>
          <w:bCs/>
        </w:rPr>
        <w:t>Connexion dynamique</w:t>
      </w:r>
      <w:r w:rsidRPr="006E5907">
        <w:t xml:space="preserve"> : L'application se connecte successivement à toutes les cibles (bases Oracle ou autres) que tu as cochées dans le paramétrage de cette sonde.</w:t>
      </w:r>
    </w:p>
    <w:p w14:paraId="18BA9DDA" w14:textId="77777777" w:rsidR="006E5907" w:rsidRPr="006E5907" w:rsidRDefault="006E5907" w:rsidP="006E5907">
      <w:pPr>
        <w:numPr>
          <w:ilvl w:val="0"/>
          <w:numId w:val="5"/>
        </w:numPr>
      </w:pPr>
      <w:r w:rsidRPr="006E5907">
        <w:rPr>
          <w:b/>
          <w:bCs/>
        </w:rPr>
        <w:t>Collecte de données</w:t>
      </w:r>
      <w:r w:rsidRPr="006E5907">
        <w:t xml:space="preserve"> : Elle exécute la requête SQL. Si la requête renvoie des lignes (par exemple, une liste de verrous ou un espace disque saturé), elle capture ces données dans un tableau pandas.</w:t>
      </w:r>
    </w:p>
    <w:p w14:paraId="4A466F3D" w14:textId="77777777" w:rsidR="006E5907" w:rsidRDefault="006E5907" w:rsidP="006E5907">
      <w:pPr>
        <w:numPr>
          <w:ilvl w:val="0"/>
          <w:numId w:val="5"/>
        </w:numPr>
      </w:pPr>
      <w:r w:rsidRPr="006E5907">
        <w:rPr>
          <w:b/>
          <w:bCs/>
        </w:rPr>
        <w:t>Gestion des erreurs</w:t>
      </w:r>
      <w:r w:rsidRPr="006E5907">
        <w:t xml:space="preserve"> : Si une base est injoignable, l'erreur est capturée proprement pour être affichée dans le rapport, sans bloquer la suite des tests.</w:t>
      </w:r>
    </w:p>
    <w:p w14:paraId="5BC05EF4" w14:textId="77777777" w:rsidR="00F745C4" w:rsidRDefault="00F745C4" w:rsidP="006E5907"/>
    <w:p w14:paraId="02B49691" w14:textId="77777777" w:rsidR="00F745C4" w:rsidRDefault="00F745C4" w:rsidP="006E5907"/>
    <w:p w14:paraId="704ADC03" w14:textId="77777777" w:rsidR="00F745C4" w:rsidRDefault="00F745C4" w:rsidP="006E5907"/>
    <w:p w14:paraId="7DEF9811" w14:textId="77777777" w:rsidR="00F745C4" w:rsidRDefault="00F745C4" w:rsidP="006E5907"/>
    <w:p w14:paraId="69055B53" w14:textId="08E67686" w:rsidR="00F745C4" w:rsidRDefault="00F745C4" w:rsidP="006E5907">
      <w:r>
        <w:t xml:space="preserve">Une fois le rapport généré si un MOP a été renseigné au niveau du </w:t>
      </w:r>
      <w:proofErr w:type="spellStart"/>
      <w:r>
        <w:t>parametrage</w:t>
      </w:r>
      <w:proofErr w:type="spellEnd"/>
      <w:r>
        <w:t xml:space="preserve"> des sondes il est possible d’accéder au MOP correspondant sur l’</w:t>
      </w:r>
      <w:proofErr w:type="spellStart"/>
      <w:r>
        <w:t>icone</w:t>
      </w:r>
      <w:proofErr w:type="spellEnd"/>
      <w:r>
        <w:t xml:space="preserve"> MOP</w:t>
      </w:r>
    </w:p>
    <w:p w14:paraId="0C37B7E0" w14:textId="6500F1D8" w:rsidR="006E5907" w:rsidRPr="006E5907" w:rsidRDefault="006E5907" w:rsidP="006E5907">
      <w:r w:rsidRPr="006E5907">
        <w:rPr>
          <w:noProof/>
        </w:rPr>
        <w:drawing>
          <wp:inline distT="0" distB="0" distL="0" distR="0" wp14:anchorId="652108F1" wp14:editId="76E5A804">
            <wp:extent cx="5760720" cy="2934335"/>
            <wp:effectExtent l="0" t="0" r="0" b="0"/>
            <wp:docPr id="1792012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12149" name=""/>
                    <pic:cNvPicPr/>
                  </pic:nvPicPr>
                  <pic:blipFill>
                    <a:blip r:embed="rId15"/>
                    <a:stretch>
                      <a:fillRect/>
                    </a:stretch>
                  </pic:blipFill>
                  <pic:spPr>
                    <a:xfrm>
                      <a:off x="0" y="0"/>
                      <a:ext cx="5760720" cy="2934335"/>
                    </a:xfrm>
                    <a:prstGeom prst="rect">
                      <a:avLst/>
                    </a:prstGeom>
                  </pic:spPr>
                </pic:pic>
              </a:graphicData>
            </a:graphic>
          </wp:inline>
        </w:drawing>
      </w:r>
    </w:p>
    <w:p w14:paraId="3222656C" w14:textId="77777777" w:rsidR="0006242A" w:rsidRPr="00703502" w:rsidRDefault="0006242A" w:rsidP="00703502"/>
    <w:sectPr w:rsidR="0006242A" w:rsidRPr="00703502">
      <w:footerReference w:type="even" r:id="rId16"/>
      <w:footerReference w:type="default" r:id="rId17"/>
      <w:footerReference w:type="firs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978FE" w14:textId="77777777" w:rsidR="007F34F8" w:rsidRDefault="007F34F8" w:rsidP="006E5907">
      <w:pPr>
        <w:spacing w:after="0" w:line="240" w:lineRule="auto"/>
      </w:pPr>
      <w:r>
        <w:separator/>
      </w:r>
    </w:p>
  </w:endnote>
  <w:endnote w:type="continuationSeparator" w:id="0">
    <w:p w14:paraId="409E378D" w14:textId="77777777" w:rsidR="007F34F8" w:rsidRDefault="007F34F8" w:rsidP="006E5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26CA" w14:textId="0F4E30B6" w:rsidR="006E5907" w:rsidRDefault="006E5907">
    <w:pPr>
      <w:pStyle w:val="Pieddepage"/>
    </w:pPr>
    <w:r>
      <w:rPr>
        <w:noProof/>
      </w:rPr>
      <mc:AlternateContent>
        <mc:Choice Requires="wps">
          <w:drawing>
            <wp:anchor distT="0" distB="0" distL="0" distR="0" simplePos="0" relativeHeight="251659264" behindDoc="0" locked="0" layoutInCell="1" allowOverlap="1" wp14:anchorId="45AF62D9" wp14:editId="7B95ADE5">
              <wp:simplePos x="635" y="635"/>
              <wp:positionH relativeFrom="page">
                <wp:align>center</wp:align>
              </wp:positionH>
              <wp:positionV relativeFrom="page">
                <wp:align>bottom</wp:align>
              </wp:positionV>
              <wp:extent cx="356235" cy="508000"/>
              <wp:effectExtent l="0" t="0" r="5715" b="0"/>
              <wp:wrapNone/>
              <wp:docPr id="13466538" name="Zone de texte 8"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6235" cy="508000"/>
                      </a:xfrm>
                      <a:prstGeom prst="rect">
                        <a:avLst/>
                      </a:prstGeom>
                      <a:noFill/>
                      <a:ln>
                        <a:noFill/>
                      </a:ln>
                    </wps:spPr>
                    <wps:txbx>
                      <w:txbxContent>
                        <w:p w14:paraId="3C8CD965" w14:textId="027CD475" w:rsidR="006E5907" w:rsidRPr="006E5907" w:rsidRDefault="006E5907" w:rsidP="006E5907">
                          <w:pPr>
                            <w:spacing w:after="0"/>
                            <w:rPr>
                              <w:rFonts w:ascii="Arial" w:eastAsia="Arial" w:hAnsi="Arial" w:cs="Arial"/>
                              <w:noProof/>
                              <w:color w:val="000000"/>
                              <w:sz w:val="18"/>
                              <w:szCs w:val="18"/>
                            </w:rPr>
                          </w:pPr>
                          <w:r w:rsidRPr="006E5907">
                            <w:rPr>
                              <w:rFonts w:ascii="Arial" w:eastAsia="Arial" w:hAnsi="Arial" w:cs="Arial"/>
                              <w:noProof/>
                              <w:color w:val="000000"/>
                              <w:sz w:val="18"/>
                              <w:szCs w:val="18"/>
                            </w:rPr>
                            <w:t>Interne</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5AF62D9" id="_x0000_t202" coordsize="21600,21600" o:spt="202" path="m,l,21600r21600,l21600,xe">
              <v:stroke joinstyle="miter"/>
              <v:path gradientshapeok="t" o:connecttype="rect"/>
            </v:shapetype>
            <v:shape id="Zone de texte 8" o:spid="_x0000_s1026" type="#_x0000_t202" alt="Interne" style="position:absolute;margin-left:0;margin-top:0;width:28.05pt;height:40pt;z-index:25165926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" filled="f" stroked="f">
              <v:textbox style="mso-fit-shape-to-text:t" inset="0,0,0,28pt">
                <w:txbxContent>
                  <w:p w14:paraId="3C8CD965" w14:textId="027CD475" w:rsidR="006E5907" w:rsidRPr="006E5907" w:rsidRDefault="006E5907" w:rsidP="006E5907">
                    <w:pPr>
                      <w:spacing w:after="0"/>
                      <w:rPr>
                        <w:rFonts w:ascii="Arial" w:eastAsia="Arial" w:hAnsi="Arial" w:cs="Arial"/>
                        <w:noProof/>
                        <w:color w:val="000000"/>
                        <w:sz w:val="18"/>
                        <w:szCs w:val="18"/>
                      </w:rPr>
                    </w:pPr>
                    <w:r w:rsidRPr="006E5907">
                      <w:rPr>
                        <w:rFonts w:ascii="Arial" w:eastAsia="Arial" w:hAnsi="Arial" w:cs="Arial"/>
                        <w:noProof/>
                        <w:color w:val="000000"/>
                        <w:sz w:val="18"/>
                        <w:szCs w:val="18"/>
                      </w:rPr>
                      <w:t>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3EFA1" w14:textId="1BFAE8C0" w:rsidR="006E5907" w:rsidRDefault="006E5907">
    <w:pPr>
      <w:pStyle w:val="Pieddepage"/>
    </w:pPr>
    <w:r>
      <w:rPr>
        <w:noProof/>
      </w:rPr>
      <mc:AlternateContent>
        <mc:Choice Requires="wps">
          <w:drawing>
            <wp:anchor distT="0" distB="0" distL="0" distR="0" simplePos="0" relativeHeight="251660288" behindDoc="0" locked="0" layoutInCell="1" allowOverlap="1" wp14:anchorId="03BFD456" wp14:editId="7977BDAD">
              <wp:simplePos x="899160" y="10058400"/>
              <wp:positionH relativeFrom="page">
                <wp:align>center</wp:align>
              </wp:positionH>
              <wp:positionV relativeFrom="page">
                <wp:align>bottom</wp:align>
              </wp:positionV>
              <wp:extent cx="356235" cy="508000"/>
              <wp:effectExtent l="0" t="0" r="5715" b="0"/>
              <wp:wrapNone/>
              <wp:docPr id="269342552" name="Zone de texte 9"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6235" cy="508000"/>
                      </a:xfrm>
                      <a:prstGeom prst="rect">
                        <a:avLst/>
                      </a:prstGeom>
                      <a:noFill/>
                      <a:ln>
                        <a:noFill/>
                      </a:ln>
                    </wps:spPr>
                    <wps:txbx>
                      <w:txbxContent>
                        <w:p w14:paraId="7BB3356F" w14:textId="2515EC38" w:rsidR="006E5907" w:rsidRPr="006E5907" w:rsidRDefault="006E5907" w:rsidP="006E5907">
                          <w:pPr>
                            <w:spacing w:after="0"/>
                            <w:rPr>
                              <w:rFonts w:ascii="Arial" w:eastAsia="Arial" w:hAnsi="Arial" w:cs="Arial"/>
                              <w:noProof/>
                              <w:color w:val="000000"/>
                              <w:sz w:val="18"/>
                              <w:szCs w:val="18"/>
                            </w:rPr>
                          </w:pPr>
                          <w:r w:rsidRPr="006E5907">
                            <w:rPr>
                              <w:rFonts w:ascii="Arial" w:eastAsia="Arial" w:hAnsi="Arial" w:cs="Arial"/>
                              <w:noProof/>
                              <w:color w:val="000000"/>
                              <w:sz w:val="18"/>
                              <w:szCs w:val="18"/>
                            </w:rPr>
                            <w:t>Interne</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3BFD456" id="_x0000_t202" coordsize="21600,21600" o:spt="202" path="m,l,21600r21600,l21600,xe">
              <v:stroke joinstyle="miter"/>
              <v:path gradientshapeok="t" o:connecttype="rect"/>
            </v:shapetype>
            <v:shape id="Zone de texte 9" o:spid="_x0000_s1027" type="#_x0000_t202" alt="Interne" style="position:absolute;margin-left:0;margin-top:0;width:28.05pt;height:40pt;z-index:25166028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" filled="f" stroked="f">
              <v:textbox style="mso-fit-shape-to-text:t" inset="0,0,0,28pt">
                <w:txbxContent>
                  <w:p w14:paraId="7BB3356F" w14:textId="2515EC38" w:rsidR="006E5907" w:rsidRPr="006E5907" w:rsidRDefault="006E5907" w:rsidP="006E5907">
                    <w:pPr>
                      <w:spacing w:after="0"/>
                      <w:rPr>
                        <w:rFonts w:ascii="Arial" w:eastAsia="Arial" w:hAnsi="Arial" w:cs="Arial"/>
                        <w:noProof/>
                        <w:color w:val="000000"/>
                        <w:sz w:val="18"/>
                        <w:szCs w:val="18"/>
                      </w:rPr>
                    </w:pPr>
                    <w:r w:rsidRPr="006E5907">
                      <w:rPr>
                        <w:rFonts w:ascii="Arial" w:eastAsia="Arial" w:hAnsi="Arial" w:cs="Arial"/>
                        <w:noProof/>
                        <w:color w:val="000000"/>
                        <w:sz w:val="18"/>
                        <w:szCs w:val="18"/>
                      </w:rPr>
                      <w:t>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EF16E" w14:textId="075CE112" w:rsidR="006E5907" w:rsidRDefault="006E5907">
    <w:pPr>
      <w:pStyle w:val="Pieddepage"/>
    </w:pPr>
    <w:r>
      <w:rPr>
        <w:noProof/>
      </w:rPr>
      <mc:AlternateContent>
        <mc:Choice Requires="wps">
          <w:drawing>
            <wp:anchor distT="0" distB="0" distL="0" distR="0" simplePos="0" relativeHeight="251658240" behindDoc="0" locked="0" layoutInCell="1" allowOverlap="1" wp14:anchorId="1133348D" wp14:editId="79E2384C">
              <wp:simplePos x="635" y="635"/>
              <wp:positionH relativeFrom="page">
                <wp:align>center</wp:align>
              </wp:positionH>
              <wp:positionV relativeFrom="page">
                <wp:align>bottom</wp:align>
              </wp:positionV>
              <wp:extent cx="356235" cy="508000"/>
              <wp:effectExtent l="0" t="0" r="5715" b="0"/>
              <wp:wrapNone/>
              <wp:docPr id="1415281376" name="Zone de texte 7"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6235" cy="508000"/>
                      </a:xfrm>
                      <a:prstGeom prst="rect">
                        <a:avLst/>
                      </a:prstGeom>
                      <a:noFill/>
                      <a:ln>
                        <a:noFill/>
                      </a:ln>
                    </wps:spPr>
                    <wps:txbx>
                      <w:txbxContent>
                        <w:p w14:paraId="2F955A34" w14:textId="0FB23D2F" w:rsidR="006E5907" w:rsidRPr="006E5907" w:rsidRDefault="006E5907" w:rsidP="006E5907">
                          <w:pPr>
                            <w:spacing w:after="0"/>
                            <w:rPr>
                              <w:rFonts w:ascii="Arial" w:eastAsia="Arial" w:hAnsi="Arial" w:cs="Arial"/>
                              <w:noProof/>
                              <w:color w:val="000000"/>
                              <w:sz w:val="18"/>
                              <w:szCs w:val="18"/>
                            </w:rPr>
                          </w:pPr>
                          <w:r w:rsidRPr="006E5907">
                            <w:rPr>
                              <w:rFonts w:ascii="Arial" w:eastAsia="Arial" w:hAnsi="Arial" w:cs="Arial"/>
                              <w:noProof/>
                              <w:color w:val="000000"/>
                              <w:sz w:val="18"/>
                              <w:szCs w:val="18"/>
                            </w:rPr>
                            <w:t>Interne</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133348D" id="_x0000_t202" coordsize="21600,21600" o:spt="202" path="m,l,21600r21600,l21600,xe">
              <v:stroke joinstyle="miter"/>
              <v:path gradientshapeok="t" o:connecttype="rect"/>
            </v:shapetype>
            <v:shape id="Zone de texte 7" o:spid="_x0000_s1028" type="#_x0000_t202" alt="Interne" style="position:absolute;margin-left:0;margin-top:0;width:28.05pt;height:40pt;z-index:25165824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" filled="f" stroked="f">
              <v:textbox style="mso-fit-shape-to-text:t" inset="0,0,0,28pt">
                <w:txbxContent>
                  <w:p w14:paraId="2F955A34" w14:textId="0FB23D2F" w:rsidR="006E5907" w:rsidRPr="006E5907" w:rsidRDefault="006E5907" w:rsidP="006E5907">
                    <w:pPr>
                      <w:spacing w:after="0"/>
                      <w:rPr>
                        <w:rFonts w:ascii="Arial" w:eastAsia="Arial" w:hAnsi="Arial" w:cs="Arial"/>
                        <w:noProof/>
                        <w:color w:val="000000"/>
                        <w:sz w:val="18"/>
                        <w:szCs w:val="18"/>
                      </w:rPr>
                    </w:pPr>
                    <w:r w:rsidRPr="006E5907">
                      <w:rPr>
                        <w:rFonts w:ascii="Arial" w:eastAsia="Arial" w:hAnsi="Arial" w:cs="Arial"/>
                        <w:noProof/>
                        <w:color w:val="000000"/>
                        <w:sz w:val="18"/>
                        <w:szCs w:val="18"/>
                      </w:rPr>
                      <w:t>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473BD" w14:textId="77777777" w:rsidR="007F34F8" w:rsidRDefault="007F34F8" w:rsidP="006E5907">
      <w:pPr>
        <w:spacing w:after="0" w:line="240" w:lineRule="auto"/>
      </w:pPr>
      <w:r>
        <w:separator/>
      </w:r>
    </w:p>
  </w:footnote>
  <w:footnote w:type="continuationSeparator" w:id="0">
    <w:p w14:paraId="4C5F8868" w14:textId="77777777" w:rsidR="007F34F8" w:rsidRDefault="007F34F8" w:rsidP="006E59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F33F4"/>
    <w:multiLevelType w:val="multilevel"/>
    <w:tmpl w:val="BB4A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749A8"/>
    <w:multiLevelType w:val="multilevel"/>
    <w:tmpl w:val="ECD6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E068B"/>
    <w:multiLevelType w:val="multilevel"/>
    <w:tmpl w:val="4124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3271E"/>
    <w:multiLevelType w:val="multilevel"/>
    <w:tmpl w:val="A82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700974"/>
    <w:multiLevelType w:val="multilevel"/>
    <w:tmpl w:val="D3B6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635A3"/>
    <w:multiLevelType w:val="multilevel"/>
    <w:tmpl w:val="ED76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3134A"/>
    <w:multiLevelType w:val="multilevel"/>
    <w:tmpl w:val="5484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33A76"/>
    <w:multiLevelType w:val="multilevel"/>
    <w:tmpl w:val="02B41E86"/>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num w:numId="1" w16cid:durableId="2008437588">
    <w:abstractNumId w:val="1"/>
  </w:num>
  <w:num w:numId="2" w16cid:durableId="1213689151">
    <w:abstractNumId w:val="6"/>
  </w:num>
  <w:num w:numId="3" w16cid:durableId="1204171543">
    <w:abstractNumId w:val="4"/>
  </w:num>
  <w:num w:numId="4" w16cid:durableId="275909875">
    <w:abstractNumId w:val="3"/>
  </w:num>
  <w:num w:numId="5" w16cid:durableId="542254202">
    <w:abstractNumId w:val="7"/>
  </w:num>
  <w:num w:numId="6" w16cid:durableId="1962758720">
    <w:abstractNumId w:val="2"/>
  </w:num>
  <w:num w:numId="7" w16cid:durableId="1858158031">
    <w:abstractNumId w:val="0"/>
  </w:num>
  <w:num w:numId="8" w16cid:durableId="11533302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502"/>
    <w:rsid w:val="0006242A"/>
    <w:rsid w:val="001E29BA"/>
    <w:rsid w:val="005B2AFF"/>
    <w:rsid w:val="006E5907"/>
    <w:rsid w:val="00703502"/>
    <w:rsid w:val="007F34F8"/>
    <w:rsid w:val="00924F75"/>
    <w:rsid w:val="00B2491E"/>
    <w:rsid w:val="00C073BF"/>
    <w:rsid w:val="00D077AC"/>
    <w:rsid w:val="00ED4B42"/>
    <w:rsid w:val="00F745C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A0E8F"/>
  <w15:chartTrackingRefBased/>
  <w15:docId w15:val="{2D8A85A8-7B8B-4B2C-A01B-3A9F8723B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3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03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035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0350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0350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0350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350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35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35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350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0350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035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0350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0350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035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35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35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3502"/>
    <w:rPr>
      <w:rFonts w:eastAsiaTheme="majorEastAsia" w:cstheme="majorBidi"/>
      <w:color w:val="272727" w:themeColor="text1" w:themeTint="D8"/>
    </w:rPr>
  </w:style>
  <w:style w:type="paragraph" w:styleId="Titre">
    <w:name w:val="Title"/>
    <w:basedOn w:val="Normal"/>
    <w:next w:val="Normal"/>
    <w:link w:val="TitreCar"/>
    <w:uiPriority w:val="10"/>
    <w:qFormat/>
    <w:rsid w:val="00703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35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35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35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3502"/>
    <w:pPr>
      <w:spacing w:before="160"/>
      <w:jc w:val="center"/>
    </w:pPr>
    <w:rPr>
      <w:i/>
      <w:iCs/>
      <w:color w:val="404040" w:themeColor="text1" w:themeTint="BF"/>
    </w:rPr>
  </w:style>
  <w:style w:type="character" w:customStyle="1" w:styleId="CitationCar">
    <w:name w:val="Citation Car"/>
    <w:basedOn w:val="Policepardfaut"/>
    <w:link w:val="Citation"/>
    <w:uiPriority w:val="29"/>
    <w:rsid w:val="00703502"/>
    <w:rPr>
      <w:i/>
      <w:iCs/>
      <w:color w:val="404040" w:themeColor="text1" w:themeTint="BF"/>
    </w:rPr>
  </w:style>
  <w:style w:type="paragraph" w:styleId="Paragraphedeliste">
    <w:name w:val="List Paragraph"/>
    <w:basedOn w:val="Normal"/>
    <w:uiPriority w:val="34"/>
    <w:qFormat/>
    <w:rsid w:val="00703502"/>
    <w:pPr>
      <w:ind w:left="720"/>
      <w:contextualSpacing/>
    </w:pPr>
  </w:style>
  <w:style w:type="character" w:styleId="Accentuationintense">
    <w:name w:val="Intense Emphasis"/>
    <w:basedOn w:val="Policepardfaut"/>
    <w:uiPriority w:val="21"/>
    <w:qFormat/>
    <w:rsid w:val="00703502"/>
    <w:rPr>
      <w:i/>
      <w:iCs/>
      <w:color w:val="0F4761" w:themeColor="accent1" w:themeShade="BF"/>
    </w:rPr>
  </w:style>
  <w:style w:type="paragraph" w:styleId="Citationintense">
    <w:name w:val="Intense Quote"/>
    <w:basedOn w:val="Normal"/>
    <w:next w:val="Normal"/>
    <w:link w:val="CitationintenseCar"/>
    <w:uiPriority w:val="30"/>
    <w:qFormat/>
    <w:rsid w:val="00703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03502"/>
    <w:rPr>
      <w:i/>
      <w:iCs/>
      <w:color w:val="0F4761" w:themeColor="accent1" w:themeShade="BF"/>
    </w:rPr>
  </w:style>
  <w:style w:type="character" w:styleId="Rfrenceintense">
    <w:name w:val="Intense Reference"/>
    <w:basedOn w:val="Policepardfaut"/>
    <w:uiPriority w:val="32"/>
    <w:qFormat/>
    <w:rsid w:val="00703502"/>
    <w:rPr>
      <w:b/>
      <w:bCs/>
      <w:smallCaps/>
      <w:color w:val="0F4761" w:themeColor="accent1" w:themeShade="BF"/>
      <w:spacing w:val="5"/>
    </w:rPr>
  </w:style>
  <w:style w:type="paragraph" w:styleId="Pieddepage">
    <w:name w:val="footer"/>
    <w:basedOn w:val="Normal"/>
    <w:link w:val="PieddepageCar"/>
    <w:uiPriority w:val="99"/>
    <w:unhideWhenUsed/>
    <w:rsid w:val="006E59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5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62868-7665-4DD5-B103-AFBF6EE037FE}">
  <ds:schemaRefs>
    <ds:schemaRef ds:uri="http://schemas.openxmlformats.org/officeDocument/2006/bibliography"/>
  </ds:schemaRefs>
</ds:datastoreItem>
</file>

<file path=docMetadata/LabelInfo.xml><?xml version="1.0" encoding="utf-8"?>
<clbl:labelList xmlns:clbl="http://schemas.microsoft.com/office/2020/mipLabelMetadata">
  <clbl:label id="{4af293e6-3850-4258-b2c7-0aa0e3bfa7d9}" enabled="1" method="Privileged" siteId="{b9fec68c-c92d-461e-9a97-3d03a0f18b82}" contentBits="3"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7</Pages>
  <Words>786</Words>
  <Characters>4326</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CGI</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MARTEL, Mike (CPG Retail &amp; North)</dc:creator>
  <cp:keywords/>
  <dc:description/>
  <cp:lastModifiedBy>MARTEL, Mike (CPG Retail &amp; North)</cp:lastModifiedBy>
  <cp:revision>3</cp:revision>
  <dcterms:created xsi:type="dcterms:W3CDTF">2026-03-25T13:49:00Z</dcterms:created>
  <dcterms:modified xsi:type="dcterms:W3CDTF">2026-03-25T14:26:00Z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545b7ae0,cd7baa,100dd758</vt:lpwstr>
  </property>
  <property fmtid="{D5CDD505-2E9C-101B-9397-08002B2CF9AE}" pid="3" name="ClassificationContentMarkingFooterFontProps">
    <vt:lpwstr>#000000,9,Arial</vt:lpwstr>
  </property>
  <property fmtid="{D5CDD505-2E9C-101B-9397-08002B2CF9AE}" pid="4" name="ClassificationContentMarkingFooterText">
    <vt:lpwstr>Interne</vt:lpwstr>
  </property>
</Properties>
</file>