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7F86"/>
          <w:sz w:val="36"/>
        </w:rPr>
        <w:t>PAYKX</w:t>
      </w:r>
    </w:p>
    <w:p>
      <w:pPr>
        <w:jc w:val="center"/>
      </w:pPr>
      <w:r>
        <w:rPr>
          <w:b/>
          <w:color w:val="153B50"/>
          <w:sz w:val="40"/>
        </w:rPr>
        <w:t>TÀI LIỆU ĐẶC TẢ YÊU CẦU PHẦN MỀM (SRS)</w:t>
      </w:r>
    </w:p>
    <w:p>
      <w:pPr>
        <w:jc w:val="center"/>
      </w:pPr>
      <w:r>
        <w:rPr>
          <w:i/>
        </w:rPr>
        <w:t>Chức năng hoàn tiền giao dịch ví điện tử</w:t>
      </w:r>
    </w:p>
    <w:p>
      <w:pPr>
        <w:pStyle w:val="Heading1"/>
      </w:pPr>
      <w:r>
        <w:t>1. Giới thiệu</w:t>
      </w:r>
    </w:p>
    <w:p>
      <w:pPr>
        <w:pStyle w:val="Heading2"/>
      </w:pPr>
      <w:r>
        <w:t>1.1 Mục đích</w:t>
      </w:r>
    </w:p>
    <w:p>
      <w:pPr>
        <w:spacing w:after="80"/>
      </w:pPr>
      <w:r>
        <w:t>Tài liệu mô tả yêu cầu chức năng hoàn tiền của PayKX – ví điện tử dành cho sinh viên. Tài liệu là cơ sở thống nhất giữa nhóm sản phẩm, phát triển, kiểm thử và vận hành.</w:t>
      </w:r>
    </w:p>
    <w:p>
      <w:pPr>
        <w:pStyle w:val="Heading2"/>
      </w:pPr>
      <w:r>
        <w:t>1.2 Phạm vi</w:t>
      </w:r>
    </w:p>
    <w:p>
      <w:pPr>
        <w:spacing w:after="80"/>
      </w:pPr>
      <w:r>
        <w:t>PayKX hỗ trợ người dùng xem giao dịch đủ điều kiện, gửi yêu cầu hoàn tiền, theo dõi trạng thái và nhận thông báo khi kết quả được cập nhật. Tài liệu không mô tả quy trình tranh chấp thẻ hoặc hoàn tiền do ngân hàng khởi tạo.</w:t>
      </w:r>
    </w:p>
    <w:p>
      <w:pPr>
        <w:pStyle w:val="Heading2"/>
      </w:pPr>
      <w:r>
        <w:t>1.3 Đối tượng sử dụng</w:t>
      </w:r>
    </w:p>
    <w:p>
      <w:pPr>
        <w:spacing w:after="80"/>
      </w:pPr>
      <w:r>
        <w:t>Người dùng sinh viên, nhân viên hỗ trợ, bộ phận đối soát, quản trị viên và đội phát triển hệ thống.</w:t>
      </w:r>
    </w:p>
    <w:p>
      <w:pPr>
        <w:pStyle w:val="Heading2"/>
      </w:pPr>
      <w:r>
        <w:t>1.4 Thuật ngữ</w:t>
      </w:r>
    </w:p>
    <w:p>
      <w:pPr>
        <w:spacing w:after="80"/>
      </w:pPr>
      <w:r>
        <w:t>SRS: đặc tả yêu cầu phần mềm; giao dịch: một hoạt động thanh toán được ghi nhận; hoàn tiền: trả lại toàn bộ hoặc một phần số tiền đã thanh toán; SLA: thời gian cam kết xử lý.</w:t>
      </w:r>
    </w:p>
    <w:p>
      <w:pPr>
        <w:pStyle w:val="Heading1"/>
      </w:pPr>
      <w:r>
        <w:t>2. Mục lục</w:t>
      </w:r>
    </w:p>
    <w:p>
      <w:r>
        <w:fldChar w:fldCharType="begin"/>
        <w:instrText xml:space="preserve">TOC \o "1-2" \h \z \u</w:instrText>
        <w:fldChar w:fldCharType="separate"/>
        <w:t>Cập nhật mục lục trong Word nếu chưa hiển thị.</w:t>
        <w:fldChar w:fldCharType="end"/>
      </w:r>
    </w:p>
    <w:p>
      <w:pPr>
        <w:spacing w:after="80"/>
      </w:pPr>
      <w:r>
        <w:t>Lưu ý: mở tài liệu bằng Microsoft Word, nhấp phải vào mục lục và chọn Update Field → Update entire table để cập nhật số trang.</w:t>
      </w:r>
    </w:p>
    <w:p>
      <w:r>
        <w:br w:type="page"/>
      </w:r>
    </w:p>
    <w:p>
      <w:pPr>
        <w:pStyle w:val="Heading1"/>
      </w:pPr>
      <w:r>
        <w:t>3. Mô tả tổng quan</w:t>
      </w:r>
    </w:p>
    <w:p>
      <w:pPr>
        <w:pStyle w:val="Heading2"/>
      </w:pPr>
      <w:r>
        <w:t>3.1 Bối cảnh sản phẩm</w:t>
      </w:r>
    </w:p>
    <w:p>
      <w:pPr>
        <w:spacing w:after="80"/>
      </w:pPr>
      <w:r>
        <w:t>PayKX phục vụ các khoản chi tiêu nhỏ thường gặp của sinh viên như nạp điện thoại, thanh toán dịch vụ và mua hàng tại điểm chấp nhận. Hoàn tiền minh bạch giúp người dùng biết khoản nào đủ điều kiện, tiền đang ở trạng thái nào và khi nào được ghi có.</w:t>
      </w:r>
    </w:p>
    <w:p>
      <w:pPr>
        <w:pStyle w:val="Heading2"/>
      </w:pPr>
      <w:r>
        <w:t>3.2 Vai trò và quyền hạn</w:t>
      </w:r>
    </w:p>
    <w:p>
      <w:pPr>
        <w:spacing w:after="80"/>
      </w:pPr>
      <w:r>
        <w:t>Người dùng chỉ xem và gửi yêu cầu liên quan đến tài khoản đã xác thực. Nhân viên hỗ trợ xem hồ sơ và bổ sung ghi chú nhưng không tự ý thay đổi số tiền. Bộ phận đối soát xác minh giao dịch và đề xuất kết quả. Hệ thống chỉ ghi có tiền sau khi kết quả được phê duyệt theo quy trình.</w:t>
      </w:r>
    </w:p>
    <w:p>
      <w:pPr>
        <w:pStyle w:val="Heading2"/>
      </w:pPr>
      <w:r>
        <w:t>3.3 Giả định và phụ thuộc</w:t>
      </w:r>
    </w:p>
    <w:p>
      <w:pPr>
        <w:spacing w:after="80"/>
      </w:pPr>
      <w:r>
        <w:t>Giao dịch nguồn có mã duy nhất, số tiền và trạng thái được lưu trong hệ thống. Kết quả hoàn tiền phụ thuộc vào xác nhận của đối tác thanh toán/ngân hàng. Kết nối mạng có thể gián đoạn; yêu cầu gửi lại không được tạo hoàn tiền trùng.</w:t>
      </w:r>
    </w:p>
    <w:p>
      <w:pPr>
        <w:pStyle w:val="Heading2"/>
      </w:pPr>
      <w:r>
        <w:t>3.4 Quy tắc nghiệp vụ</w:t>
      </w:r>
    </w:p>
    <w:p>
      <w:pPr>
        <w:spacing w:after="80"/>
      </w:pPr>
      <w:r>
        <w:t>BR-01: Chỉ giao dịch thành công mới được xem xét hoàn tiền.</w:t>
      </w:r>
    </w:p>
    <w:p>
      <w:pPr>
        <w:spacing w:after="80"/>
      </w:pPr>
      <w:r>
        <w:t>BR-02: Yêu cầu phải tham chiếu đúng mã giao dịch gốc và tài khoản sở hữu.</w:t>
      </w:r>
    </w:p>
    <w:p>
      <w:pPr>
        <w:spacing w:after="80"/>
      </w:pPr>
      <w:r>
        <w:t>BR-03: Tổng số tiền hoàn không vượt quá số tiền giao dịch còn được phép hoàn.</w:t>
      </w:r>
    </w:p>
    <w:p>
      <w:pPr>
        <w:spacing w:after="80"/>
      </w:pPr>
      <w:r>
        <w:t>BR-04: Mỗi yêu cầu có mã định danh duy nhất để chống xử lý lặp.</w:t>
      </w:r>
    </w:p>
    <w:p>
      <w:pPr>
        <w:spacing w:after="80"/>
      </w:pPr>
      <w:r>
        <w:t>BR-05: Mọi thay đổi trạng thái phải lưu thời điểm, tác nhân và lý do.</w:t>
      </w:r>
    </w:p>
    <w:p>
      <w:r>
        <w:br w:type="page"/>
      </w:r>
    </w:p>
    <w:p>
      <w:pPr>
        <w:pStyle w:val="Heading1"/>
      </w:pPr>
      <w:r>
        <w:t>4. Yêu cầu chức năng</w:t>
      </w:r>
    </w:p>
    <w:p>
      <w:pPr>
        <w:pStyle w:val="Heading2"/>
      </w:pPr>
      <w:r>
        <w:t>4.1 FR-01 – Xem giao dịch đủ điều kiện</w:t>
      </w:r>
    </w:p>
    <w:p>
      <w:pPr>
        <w:spacing w:after="80"/>
      </w:pPr>
      <w:r>
        <w:t>Mô tả: hệ thống hiển thị danh sách giao dịch của người dùng và đánh dấu giao dịch có thể gửi yêu cầu hoàn tiền.</w:t>
      </w:r>
    </w:p>
    <w:p>
      <w:pPr>
        <w:spacing w:after="80"/>
      </w:pPr>
      <w:r>
        <w:t>Đầu vào: phiên đăng nhập hợp lệ, khoảng thời gian hoặc mã giao dịch tùy chọn.</w:t>
      </w:r>
    </w:p>
    <w:p>
      <w:pPr>
        <w:spacing w:after="80"/>
      </w:pPr>
      <w:r>
        <w:t>Xử lý: kiểm tra quyền sở hữu, trạng thái giao dịch và số tiền đã hoàn trước đó.</w:t>
      </w:r>
    </w:p>
    <w:p>
      <w:pPr>
        <w:spacing w:after="80"/>
      </w:pPr>
      <w:r>
        <w:t>Đầu ra: mã giao dịch, ngày giờ, số tiền, người nhận/đơn vị chấp nhận và trạng thái đủ điều kiện.</w:t>
      </w:r>
    </w:p>
    <w:p>
      <w:pPr>
        <w:pStyle w:val="Heading2"/>
      </w:pPr>
      <w:r>
        <w:t>4.2 FR-02 – Tạo yêu cầu hoàn tiền</w:t>
      </w:r>
    </w:p>
    <w:p>
      <w:pPr>
        <w:spacing w:after="80"/>
      </w:pPr>
      <w:r>
        <w:t>Mô tả: người dùng chọn giao dịch, nhập lý do và gửi yêu cầu.</w:t>
      </w:r>
    </w:p>
    <w:p>
      <w:pPr>
        <w:spacing w:after="80"/>
      </w:pPr>
      <w:r>
        <w:t>Tiền điều kiện: giao dịch thuộc tài khoản hiện tại, đã thành công và còn số dư có thể hoàn.</w:t>
      </w:r>
    </w:p>
    <w:p>
      <w:pPr>
        <w:spacing w:after="80"/>
      </w:pPr>
      <w:r>
        <w:t>Luồng chính: (1) người dùng chọn giao dịch; (2) hệ thống hiển thị chi tiết; (3) người dùng chọn lý do và xác nhận; (4) hệ thống kiểm tra điều kiện; (5) hệ thống tạo mã yêu cầu và thông báo tiếp nhận.</w:t>
      </w:r>
    </w:p>
    <w:p>
      <w:pPr>
        <w:spacing w:after="80"/>
      </w:pPr>
      <w:r>
        <w:t>Ngoại lệ: nếu giao dịch không hợp lệ, đã hoàn đủ hoặc yêu cầu trùng, hệ thống từ chối và hiển thị lý do rõ ràng.</w:t>
      </w:r>
    </w:p>
    <w:p>
      <w:pPr>
        <w:pStyle w:val="Heading2"/>
      </w:pPr>
      <w:r>
        <w:t>4.3 FR-03 – Theo dõi trạng thái</w:t>
      </w:r>
    </w:p>
    <w:p>
      <w:pPr>
        <w:spacing w:after="80"/>
      </w:pPr>
      <w:r>
        <w:t>Các trạng thái gồm: Đã tiếp nhận, Đang xác minh, Đã duyệt, Đã hoàn tiền và Từ chối. Mỗi trạng thái hiển thị thời gian cập nhật; trạng thái Từ chối phải có lý do phù hợp.</w:t>
      </w:r>
    </w:p>
    <w:p>
      <w:r>
        <w:br w:type="page"/>
      </w:r>
    </w:p>
    <w:p>
      <w:pPr>
        <w:pStyle w:val="Heading1"/>
      </w:pPr>
      <w:r>
        <w:t>4. Yêu cầu chức năng (tiếp)</w:t>
      </w:r>
    </w:p>
    <w:p>
      <w:pPr>
        <w:pStyle w:val="Heading2"/>
      </w:pPr>
      <w:r>
        <w:t>4.4 FR-04 – Phê duyệt và ghi có</w:t>
      </w:r>
    </w:p>
    <w:p>
      <w:pPr>
        <w:spacing w:after="80"/>
      </w:pPr>
      <w:r>
        <w:t>Nhân viên có quyền kiểm tra chứng từ và kết quả đối soát. Khi được duyệt, hệ thống gửi lệnh hoàn tiền đến bộ xử lý thanh toán. Chỉ đánh dấu Đã hoàn tiền khi nhận được xác nhận thành công; nếu thất bại, giữ trạng thái xử lý và tạo cảnh báo.</w:t>
      </w:r>
    </w:p>
    <w:p>
      <w:pPr>
        <w:pStyle w:val="Heading2"/>
      </w:pPr>
      <w:r>
        <w:t>4.5 FR-05 – Thông báo</w:t>
      </w:r>
    </w:p>
    <w:p>
      <w:pPr>
        <w:spacing w:after="80"/>
      </w:pPr>
      <w:r>
        <w:t>Gửi thông báo trong ứng dụng khi yêu cầu được tiếp nhận, thay đổi trạng thái hoặc hoàn tất. Thông báo không được chứa thông tin nhạy cảm ngoài mức cần thiết.</w:t>
      </w:r>
    </w:p>
    <w:p>
      <w:pPr>
        <w:pStyle w:val="Heading2"/>
      </w:pPr>
      <w:r>
        <w:t>4.6 FR-06 – Nhật ký và đối soát</w:t>
      </w:r>
    </w:p>
    <w:p>
      <w:pPr>
        <w:spacing w:after="80"/>
      </w:pPr>
      <w:r>
        <w:t>Lưu mã giao dịch gốc, mã yêu cầu hoàn, số tiền, trạng thái, thời điểm, mã nhân viên xử lý và mã tham chiếu đối tác. Báo cáo đối soát cho phép lọc theo ngày, trạng thái và đối tác.</w:t>
      </w:r>
    </w:p>
    <w:p>
      <w:pPr>
        <w:pStyle w:val="Heading1"/>
      </w:pPr>
      <w:r>
        <w:t>5. Yêu cầu phi chức năng</w:t>
      </w:r>
    </w:p>
    <w:p>
      <w:pPr>
        <w:pStyle w:val="Heading2"/>
      </w:pPr>
      <w:r>
        <w:t>5.1 Bảo mật và quyền riêng tư</w:t>
      </w:r>
    </w:p>
    <w:p>
      <w:pPr>
        <w:spacing w:after="80"/>
      </w:pPr>
      <w:r>
        <w:t>Xác thực người dùng trước khi truy cập dữ liệu; áp dụng phân quyền theo vai trò; mã hóa dữ liệu truyền tải; che thông tin nhạy cảm trên giao diện và nhật ký.</w:t>
      </w:r>
    </w:p>
    <w:p>
      <w:pPr>
        <w:pStyle w:val="Heading2"/>
      </w:pPr>
      <w:r>
        <w:t>5.2 Hiệu năng và khả dụng</w:t>
      </w:r>
    </w:p>
    <w:p>
      <w:pPr>
        <w:spacing w:after="80"/>
      </w:pPr>
      <w:r>
        <w:t>Danh sách giao dịch phổ biến phản hồi trong 3 giây ở điều kiện tải bình thường. Hệ thống ghi nhận yêu cầu bền vững trước khi trả thông báo tiếp nhận và hỗ trợ thử lại an toàn.</w:t>
      </w:r>
    </w:p>
    <w:p>
      <w:pPr>
        <w:pStyle w:val="Heading2"/>
      </w:pPr>
      <w:r>
        <w:t>5.3 Khả năng kiểm toán</w:t>
      </w:r>
    </w:p>
    <w:p>
      <w:pPr>
        <w:spacing w:after="80"/>
      </w:pPr>
      <w:r>
        <w:t>Nhật ký cần truy vết được ai thực hiện hành động nào, khi nào và với kết quả gì. Dữ liệu báo cáo phải đối chiếu được với dữ liệu đối tác.</w:t>
      </w:r>
    </w:p>
    <w:p>
      <w:r>
        <w:br w:type="page"/>
      </w:r>
    </w:p>
    <w:p>
      <w:pPr>
        <w:pStyle w:val="Heading1"/>
      </w:pPr>
      <w:r>
        <w:t>6. Dữ liệu, giao diện và kiểm thử</w:t>
      </w:r>
    </w:p>
    <w:p>
      <w:pPr>
        <w:pStyle w:val="Heading2"/>
      </w:pPr>
      <w:r>
        <w:t>6.1 Dữ liệu chính</w:t>
      </w:r>
    </w:p>
    <w:p>
      <w:pPr>
        <w:spacing w:after="80"/>
      </w:pPr>
      <w:r>
        <w:t>RefundRequest gồm: refund_id, transaction_id, user_id, amount, reason, status, created_at, updated_at, partner_reference và reviewer_id. transaction_id tham chiếu giao dịch gốc; refund_id là khóa duy nhất.</w:t>
      </w:r>
    </w:p>
    <w:p>
      <w:pPr>
        <w:pStyle w:val="Heading2"/>
      </w:pPr>
      <w:r>
        <w:t>6.2 Gợi ý giao diện</w:t>
      </w:r>
    </w:p>
    <w:p>
      <w:pPr>
        <w:spacing w:after="80"/>
      </w:pPr>
      <w:r>
        <w:t>Màn hình chi tiết giao dịch có nút “Yêu cầu hoàn tiền” khi đủ điều kiện. Màn hình theo dõi hiển thị tiến trình trạng thái, số tiền, lý do và thời gian cập nhật. Lỗi cần dùng ngôn ngữ dễ hiểu và hướng dẫn bước tiếp theo.</w:t>
      </w:r>
    </w:p>
    <w:p>
      <w:pPr>
        <w:pStyle w:val="Heading2"/>
      </w:pPr>
      <w:r>
        <w:t>6.3 Tiêu chí chấp nhận</w:t>
      </w:r>
    </w:p>
    <w:p>
      <w:pPr>
        <w:spacing w:after="80"/>
      </w:pPr>
      <w:r>
        <w:t>AT-01: Người dùng chỉ xem được giao dịch thuộc tài khoản của mình.</w:t>
      </w:r>
    </w:p>
    <w:p>
      <w:pPr>
        <w:spacing w:after="80"/>
      </w:pPr>
      <w:r>
        <w:t>AT-02: Giao dịch thành công và đủ điều kiện tạo được một yêu cầu hoàn tiền.</w:t>
      </w:r>
    </w:p>
    <w:p>
      <w:pPr>
        <w:spacing w:after="80"/>
      </w:pPr>
      <w:r>
        <w:t>AT-03: Gửi lại cùng yêu cầu không tạo lệnh hoàn trùng.</w:t>
      </w:r>
    </w:p>
    <w:p>
      <w:pPr>
        <w:spacing w:after="80"/>
      </w:pPr>
      <w:r>
        <w:t>AT-04: Tổng tiền hoàn không vượt quá số tiền còn được phép hoàn.</w:t>
      </w:r>
    </w:p>
    <w:p>
      <w:pPr>
        <w:spacing w:after="80"/>
      </w:pPr>
      <w:r>
        <w:t>AT-05: Trạng thái và lịch sử xử lý được lưu và hiển thị nhất quán.</w:t>
      </w:r>
    </w:p>
    <w:p>
      <w:pPr>
        <w:spacing w:after="80"/>
      </w:pPr>
      <w:r>
        <w:t>AT-06: Yêu cầu bị từ chối có lý do; lỗi đối tác không bị hiển thị nhầm là đã hoàn tiền.</w:t>
      </w:r>
    </w:p>
    <w:p>
      <w:pPr>
        <w:pStyle w:val="Heading1"/>
      </w:pPr>
      <w:r>
        <w:t>7. Rủi ro và hướng xử lý</w:t>
      </w:r>
    </w:p>
    <w:p>
      <w:pPr>
        <w:spacing w:after="80"/>
      </w:pPr>
      <w:r>
        <w:t>Rủi ro gồm phản hồi đối tác chậm, dữ liệu đối soát lệch và người dùng gửi yêu cầu nhiều lần. Giải pháp: mã idempotency, hàng đợi xử lý, cảnh báo giao dịch lệch và quy trình đối soát cuối ngày.</w:t>
      </w:r>
    </w:p>
    <w:p>
      <w:pPr>
        <w:pStyle w:val="Heading1"/>
      </w:pPr>
      <w:r>
        <w:t>8. Phê duyệt tài liệu</w:t>
      </w:r>
    </w:p>
    <w:p>
      <w:pPr>
        <w:spacing w:after="80"/>
      </w:pPr>
      <w:r>
        <w:t>Chủ sở hữu: Trưởng dự án PayKX | Phiên bản: 1.0 | Trạng thái: Bản dự thảo phục vụ học tập | Ngày: 25/10/2026.</w:t>
      </w:r>
    </w:p>
    <w:sectPr w:rsidR="00FC693F" w:rsidRPr="0006063C" w:rsidSect="00034616">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53B5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007F8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53B5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