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7BAE1" w14:textId="62B13AD3" w:rsidR="001A4CB5" w:rsidRPr="001A4CB5" w:rsidRDefault="001A4CB5" w:rsidP="006E7D59">
      <w:pPr>
        <w:jc w:val="both"/>
        <w:rPr>
          <w:rFonts w:ascii="Arial Black" w:hAnsi="Arial Black"/>
          <w:sz w:val="24"/>
          <w:szCs w:val="24"/>
        </w:rPr>
      </w:pPr>
      <w:r w:rsidRPr="001A4CB5">
        <w:rPr>
          <w:rFonts w:ascii="Arial Black" w:hAnsi="Arial Black"/>
          <w:sz w:val="24"/>
          <w:szCs w:val="24"/>
        </w:rPr>
        <w:t>Introduction</w:t>
      </w:r>
    </w:p>
    <w:p w14:paraId="2E44B309" w14:textId="695EC555" w:rsidR="00514254" w:rsidRPr="001A4CB5" w:rsidRDefault="008C595B" w:rsidP="006E7D59">
      <w:pPr>
        <w:jc w:val="both"/>
        <w:rPr>
          <w:rFonts w:ascii="Lora" w:hAnsi="Lora"/>
          <w:sz w:val="24"/>
          <w:szCs w:val="24"/>
        </w:rPr>
      </w:pPr>
      <w:r w:rsidRPr="001A4CB5">
        <w:rPr>
          <w:rFonts w:ascii="Lora" w:hAnsi="Lora"/>
          <w:sz w:val="24"/>
          <w:szCs w:val="24"/>
        </w:rPr>
        <w:t>PLINQ is the LINQ but operated in parallel fashion. It automatically divides the input sequence into several chunk</w:t>
      </w:r>
      <w:r w:rsidR="00A96A30">
        <w:rPr>
          <w:rFonts w:ascii="Lora" w:hAnsi="Lora"/>
          <w:sz w:val="24"/>
          <w:szCs w:val="24"/>
        </w:rPr>
        <w:t>s</w:t>
      </w:r>
      <w:r w:rsidRPr="001A4CB5">
        <w:rPr>
          <w:rFonts w:ascii="Lora" w:hAnsi="Lora"/>
          <w:sz w:val="24"/>
          <w:szCs w:val="24"/>
        </w:rPr>
        <w:t xml:space="preserve"> of elements</w:t>
      </w:r>
      <w:r w:rsidR="00A96A30">
        <w:rPr>
          <w:rFonts w:ascii="Lora" w:hAnsi="Lora"/>
          <w:sz w:val="24"/>
          <w:szCs w:val="24"/>
        </w:rPr>
        <w:t xml:space="preserve">, processes them concurrently and then collate them into one output sequence. </w:t>
      </w:r>
    </w:p>
    <w:p w14:paraId="6EBAED8C" w14:textId="0631C7FE" w:rsidR="008C595B" w:rsidRPr="001A4CB5" w:rsidRDefault="008C595B">
      <w:pPr>
        <w:rPr>
          <w:rFonts w:ascii="Lora" w:hAnsi="Lora"/>
          <w:sz w:val="24"/>
          <w:szCs w:val="24"/>
        </w:rPr>
      </w:pPr>
      <w:r w:rsidRPr="001A4CB5">
        <w:rPr>
          <w:rFonts w:ascii="Lora" w:hAnsi="Lora"/>
          <w:sz w:val="24"/>
          <w:szCs w:val="24"/>
        </w:rPr>
        <w:t xml:space="preserve">To transform regular LINQ to </w:t>
      </w:r>
      <w:proofErr w:type="gramStart"/>
      <w:r w:rsidRPr="001A4CB5">
        <w:rPr>
          <w:rFonts w:ascii="Lora" w:hAnsi="Lora"/>
          <w:sz w:val="24"/>
          <w:szCs w:val="24"/>
        </w:rPr>
        <w:t>PLINQ</w:t>
      </w:r>
      <w:r w:rsidR="00C50149" w:rsidRPr="001A4CB5">
        <w:rPr>
          <w:rFonts w:ascii="Lora" w:hAnsi="Lora"/>
          <w:sz w:val="24"/>
          <w:szCs w:val="24"/>
        </w:rPr>
        <w:t xml:space="preserve">, </w:t>
      </w:r>
      <w:r w:rsidRPr="001A4CB5">
        <w:rPr>
          <w:rFonts w:ascii="Lora" w:hAnsi="Lora"/>
          <w:sz w:val="24"/>
          <w:szCs w:val="24"/>
        </w:rPr>
        <w:t xml:space="preserve"> </w:t>
      </w:r>
      <w:r w:rsidR="00C50149" w:rsidRPr="001A4CB5">
        <w:rPr>
          <w:rFonts w:ascii="Lora" w:hAnsi="Lora"/>
          <w:sz w:val="24"/>
          <w:szCs w:val="24"/>
        </w:rPr>
        <w:t>a</w:t>
      </w:r>
      <w:r w:rsidRPr="001A4CB5">
        <w:rPr>
          <w:rFonts w:ascii="Lora" w:hAnsi="Lora"/>
          <w:sz w:val="24"/>
          <w:szCs w:val="24"/>
        </w:rPr>
        <w:t>dd</w:t>
      </w:r>
      <w:proofErr w:type="gramEnd"/>
      <w:r w:rsidR="00C50149" w:rsidRPr="001A4CB5">
        <w:rPr>
          <w:rFonts w:ascii="Lora" w:hAnsi="Lora"/>
          <w:sz w:val="24"/>
          <w:szCs w:val="24"/>
        </w:rPr>
        <w:t xml:space="preserve">  “</w:t>
      </w:r>
      <w:r w:rsidRPr="001A4CB5">
        <w:rPr>
          <w:rFonts w:ascii="Lora" w:hAnsi="Lora"/>
          <w:sz w:val="24"/>
          <w:szCs w:val="24"/>
        </w:rPr>
        <w:t>.AsParallel()</w:t>
      </w:r>
      <w:r w:rsidR="00C50149" w:rsidRPr="001A4CB5">
        <w:rPr>
          <w:rFonts w:ascii="Lora" w:hAnsi="Lora"/>
          <w:sz w:val="24"/>
          <w:szCs w:val="24"/>
        </w:rPr>
        <w:t>”</w:t>
      </w:r>
      <w:r w:rsidRPr="001A4CB5">
        <w:rPr>
          <w:rFonts w:ascii="Lora" w:hAnsi="Lora"/>
          <w:sz w:val="24"/>
          <w:szCs w:val="24"/>
        </w:rPr>
        <w:t xml:space="preserve"> to</w:t>
      </w:r>
      <w:r w:rsidR="00C50149" w:rsidRPr="001A4CB5">
        <w:rPr>
          <w:rFonts w:ascii="Lora" w:hAnsi="Lora"/>
          <w:sz w:val="24"/>
          <w:szCs w:val="24"/>
        </w:rPr>
        <w:t xml:space="preserve"> the</w:t>
      </w:r>
      <w:r w:rsidRPr="001A4CB5">
        <w:rPr>
          <w:rFonts w:ascii="Lora" w:hAnsi="Lora"/>
          <w:sz w:val="24"/>
          <w:szCs w:val="24"/>
        </w:rPr>
        <w:t xml:space="preserve"> input sequence.</w:t>
      </w:r>
    </w:p>
    <w:p w14:paraId="5F51F031" w14:textId="08343136" w:rsidR="008C595B" w:rsidRPr="001A4CB5" w:rsidRDefault="008C595B">
      <w:pPr>
        <w:rPr>
          <w:rFonts w:ascii="Lora" w:hAnsi="Lora"/>
          <w:sz w:val="24"/>
          <w:szCs w:val="24"/>
        </w:rPr>
      </w:pPr>
      <w:r w:rsidRPr="001A4CB5">
        <w:rPr>
          <w:rFonts w:ascii="Lora" w:hAnsi="Lora"/>
          <w:sz w:val="24"/>
          <w:szCs w:val="24"/>
        </w:rPr>
        <w:t>For query expression.</w:t>
      </w:r>
    </w:p>
    <w:p w14:paraId="5550A01C" w14:textId="747875DF" w:rsidR="008C595B" w:rsidRPr="001A4CB5" w:rsidRDefault="00C4772C">
      <w:pPr>
        <w:rPr>
          <w:sz w:val="24"/>
          <w:szCs w:val="24"/>
        </w:rPr>
      </w:pPr>
      <w:r w:rsidRPr="001A4CB5">
        <w:rPr>
          <w:sz w:val="24"/>
          <w:szCs w:val="24"/>
        </w:rPr>
        <w:t>v</w:t>
      </w:r>
      <w:r w:rsidR="00C50149" w:rsidRPr="001A4CB5">
        <w:rPr>
          <w:sz w:val="24"/>
          <w:szCs w:val="24"/>
        </w:rPr>
        <w:t>ar query =  f</w:t>
      </w:r>
      <w:r w:rsidR="008C595B" w:rsidRPr="001A4CB5">
        <w:rPr>
          <w:sz w:val="24"/>
          <w:szCs w:val="24"/>
        </w:rPr>
        <w:t>rom n in numbers.AsParallel()</w:t>
      </w:r>
    </w:p>
    <w:p w14:paraId="330E9574" w14:textId="579FB4CA" w:rsidR="008C595B" w:rsidRPr="001A4CB5" w:rsidRDefault="00C50149" w:rsidP="00C50149">
      <w:pPr>
        <w:ind w:firstLine="720"/>
        <w:rPr>
          <w:sz w:val="24"/>
          <w:szCs w:val="24"/>
        </w:rPr>
      </w:pPr>
      <w:r w:rsidRPr="001A4CB5">
        <w:rPr>
          <w:sz w:val="24"/>
          <w:szCs w:val="24"/>
        </w:rPr>
        <w:t>w</w:t>
      </w:r>
      <w:r w:rsidR="008C595B" w:rsidRPr="001A4CB5">
        <w:rPr>
          <w:sz w:val="24"/>
          <w:szCs w:val="24"/>
        </w:rPr>
        <w:t>here n &gt; 20;</w:t>
      </w:r>
    </w:p>
    <w:p w14:paraId="192B7900" w14:textId="4B986C18" w:rsidR="008C595B" w:rsidRPr="001A4CB5" w:rsidRDefault="008C595B" w:rsidP="00C50149">
      <w:pPr>
        <w:ind w:firstLine="720"/>
        <w:rPr>
          <w:sz w:val="24"/>
          <w:szCs w:val="24"/>
        </w:rPr>
      </w:pPr>
      <w:r w:rsidRPr="001A4CB5">
        <w:rPr>
          <w:sz w:val="24"/>
          <w:szCs w:val="24"/>
        </w:rPr>
        <w:t>select</w:t>
      </w:r>
      <w:r w:rsidR="00C50149" w:rsidRPr="001A4CB5">
        <w:rPr>
          <w:sz w:val="24"/>
          <w:szCs w:val="24"/>
        </w:rPr>
        <w:t xml:space="preserve"> n;</w:t>
      </w:r>
    </w:p>
    <w:p w14:paraId="3177A8F0" w14:textId="70FCA2FF" w:rsidR="00C50149" w:rsidRPr="001A4CB5" w:rsidRDefault="00C50149" w:rsidP="00C50149">
      <w:pPr>
        <w:rPr>
          <w:rFonts w:ascii="Lora" w:hAnsi="Lora"/>
          <w:sz w:val="24"/>
          <w:szCs w:val="24"/>
        </w:rPr>
      </w:pPr>
      <w:r w:rsidRPr="001A4CB5">
        <w:rPr>
          <w:rFonts w:ascii="Lora" w:hAnsi="Lora"/>
          <w:sz w:val="24"/>
          <w:szCs w:val="24"/>
        </w:rPr>
        <w:t>for fluent syntax.</w:t>
      </w:r>
    </w:p>
    <w:p w14:paraId="27060FDE" w14:textId="6EE58DD3" w:rsidR="00C50149" w:rsidRPr="001A4CB5" w:rsidRDefault="00C50149" w:rsidP="00C50149">
      <w:pPr>
        <w:rPr>
          <w:sz w:val="24"/>
          <w:szCs w:val="24"/>
        </w:rPr>
      </w:pPr>
      <w:r w:rsidRPr="001A4CB5">
        <w:rPr>
          <w:sz w:val="24"/>
          <w:szCs w:val="24"/>
        </w:rPr>
        <w:t>var query = numbers.AsParallel().Where(n =&gt; n &gt; 20).select(n =&gt; n);</w:t>
      </w:r>
    </w:p>
    <w:p w14:paraId="2DEAA42B" w14:textId="45D551D3" w:rsidR="00C50149" w:rsidRPr="00C4772C" w:rsidRDefault="006E7D59" w:rsidP="006E7D59">
      <w:pPr>
        <w:jc w:val="both"/>
        <w:rPr>
          <w:rFonts w:ascii="Lora" w:hAnsi="Lora"/>
          <w:sz w:val="24"/>
          <w:szCs w:val="24"/>
        </w:rPr>
      </w:pPr>
      <w:r w:rsidRPr="00C4772C">
        <w:rPr>
          <w:rFonts w:ascii="Lora" w:hAnsi="Lora"/>
          <w:sz w:val="24"/>
          <w:szCs w:val="24"/>
        </w:rPr>
        <w:t>B</w:t>
      </w:r>
      <w:r w:rsidR="00C50149" w:rsidRPr="00C4772C">
        <w:rPr>
          <w:rFonts w:ascii="Lora" w:hAnsi="Lora"/>
          <w:sz w:val="24"/>
          <w:szCs w:val="24"/>
        </w:rPr>
        <w:t xml:space="preserve">y default, the PLINQ doesn’t preserve the initial order of the input sequence </w:t>
      </w:r>
      <w:r w:rsidR="00ED59D4" w:rsidRPr="00C4772C">
        <w:rPr>
          <w:rFonts w:ascii="Lora" w:hAnsi="Lora"/>
          <w:sz w:val="24"/>
          <w:szCs w:val="24"/>
        </w:rPr>
        <w:t>into</w:t>
      </w:r>
      <w:r w:rsidR="00C50149" w:rsidRPr="00C4772C">
        <w:rPr>
          <w:rFonts w:ascii="Lora" w:hAnsi="Lora"/>
          <w:sz w:val="24"/>
          <w:szCs w:val="24"/>
        </w:rPr>
        <w:t xml:space="preserve"> the output sequence . </w:t>
      </w:r>
      <w:r w:rsidR="00ED59D4" w:rsidRPr="00C4772C">
        <w:rPr>
          <w:rFonts w:ascii="Lora" w:hAnsi="Lora"/>
          <w:sz w:val="24"/>
          <w:szCs w:val="24"/>
        </w:rPr>
        <w:t>Yet, you can enforce the PLINQ to do so by put the AsOrdered() following AsParallel(). For example.</w:t>
      </w:r>
    </w:p>
    <w:p w14:paraId="01CB7FCB" w14:textId="659A2D56" w:rsidR="00ED59D4" w:rsidRPr="001A4CB5" w:rsidRDefault="00ED59D4" w:rsidP="00C50149">
      <w:pPr>
        <w:rPr>
          <w:sz w:val="24"/>
          <w:szCs w:val="24"/>
        </w:rPr>
      </w:pPr>
      <w:r w:rsidRPr="001A4CB5">
        <w:rPr>
          <w:sz w:val="24"/>
          <w:szCs w:val="24"/>
        </w:rPr>
        <w:t>var ordered</w:t>
      </w:r>
      <w:r w:rsidR="00C4772C" w:rsidRPr="001A4CB5">
        <w:rPr>
          <w:sz w:val="24"/>
          <w:szCs w:val="24"/>
        </w:rPr>
        <w:t>Q</w:t>
      </w:r>
      <w:r w:rsidRPr="001A4CB5">
        <w:rPr>
          <w:sz w:val="24"/>
          <w:szCs w:val="24"/>
        </w:rPr>
        <w:t xml:space="preserve">uery = sequence.AsParallel().AsOrdered().Where(n=&gt;n%2 == 0).select( n = &gt; n+1); </w:t>
      </w:r>
    </w:p>
    <w:p w14:paraId="5CF5F427" w14:textId="16A00424" w:rsidR="00C50149" w:rsidRPr="00C4772C" w:rsidRDefault="00ED59D4" w:rsidP="006E7D59">
      <w:pPr>
        <w:jc w:val="both"/>
        <w:rPr>
          <w:rFonts w:ascii="Lora" w:hAnsi="Lora"/>
          <w:sz w:val="24"/>
          <w:szCs w:val="24"/>
        </w:rPr>
      </w:pPr>
      <w:r w:rsidRPr="00C4772C">
        <w:rPr>
          <w:rFonts w:ascii="Lora" w:hAnsi="Lora"/>
          <w:sz w:val="24"/>
          <w:szCs w:val="24"/>
        </w:rPr>
        <w:t xml:space="preserve">Enforcing the order for PLINQ can throttle the overall performance of unordered parallel </w:t>
      </w:r>
      <w:r w:rsidR="002E1291" w:rsidRPr="00C4772C">
        <w:rPr>
          <w:rFonts w:ascii="Lora" w:hAnsi="Lora"/>
          <w:sz w:val="24"/>
          <w:szCs w:val="24"/>
        </w:rPr>
        <w:t xml:space="preserve">query as it requires some overhead and checking to ensure each element being put in right order. </w:t>
      </w:r>
    </w:p>
    <w:p w14:paraId="487EB248" w14:textId="2DA396E1" w:rsidR="006E7D59" w:rsidRPr="001A4CB5" w:rsidRDefault="006E7D59" w:rsidP="006E7D59">
      <w:pPr>
        <w:jc w:val="both"/>
        <w:rPr>
          <w:rFonts w:ascii="Arial Black" w:hAnsi="Arial Black"/>
          <w:sz w:val="24"/>
          <w:szCs w:val="24"/>
        </w:rPr>
      </w:pPr>
      <w:r w:rsidRPr="001A4CB5">
        <w:rPr>
          <w:rFonts w:ascii="Arial Black" w:hAnsi="Arial Black"/>
          <w:sz w:val="24"/>
          <w:szCs w:val="24"/>
        </w:rPr>
        <w:t>Limitation of PLINQ</w:t>
      </w:r>
    </w:p>
    <w:p w14:paraId="15461C81" w14:textId="67AD1D20" w:rsidR="006E7D59" w:rsidRPr="00C4772C" w:rsidRDefault="006E7D59" w:rsidP="006E7D59">
      <w:pPr>
        <w:jc w:val="both"/>
        <w:rPr>
          <w:rFonts w:ascii="Lora" w:hAnsi="Lora"/>
          <w:sz w:val="24"/>
          <w:szCs w:val="24"/>
        </w:rPr>
      </w:pPr>
      <w:r w:rsidRPr="00C4772C">
        <w:rPr>
          <w:rFonts w:ascii="Lora" w:hAnsi="Lora"/>
          <w:sz w:val="24"/>
          <w:szCs w:val="24"/>
        </w:rPr>
        <w:t xml:space="preserve">The PLING is only appliable to local collection and </w:t>
      </w:r>
      <w:r w:rsidR="00C4772C" w:rsidRPr="00C4772C">
        <w:rPr>
          <w:rFonts w:ascii="Lora" w:hAnsi="Lora"/>
          <w:sz w:val="24"/>
          <w:szCs w:val="24"/>
        </w:rPr>
        <w:t>unusable in</w:t>
      </w:r>
      <w:r w:rsidRPr="00C4772C">
        <w:rPr>
          <w:rFonts w:ascii="Lora" w:hAnsi="Lora"/>
          <w:sz w:val="24"/>
          <w:szCs w:val="24"/>
        </w:rPr>
        <w:t xml:space="preserve"> entity framework. </w:t>
      </w:r>
    </w:p>
    <w:p w14:paraId="2365A8E6" w14:textId="224C6C82" w:rsidR="006E7D59" w:rsidRPr="00C4772C" w:rsidRDefault="006E7D59" w:rsidP="006E7D59">
      <w:pPr>
        <w:jc w:val="both"/>
        <w:rPr>
          <w:rFonts w:ascii="Lora" w:hAnsi="Lora"/>
          <w:sz w:val="24"/>
          <w:szCs w:val="24"/>
        </w:rPr>
      </w:pPr>
      <w:r w:rsidRPr="00C4772C">
        <w:rPr>
          <w:rFonts w:ascii="Lora" w:hAnsi="Lora"/>
          <w:sz w:val="24"/>
          <w:szCs w:val="24"/>
        </w:rPr>
        <w:t xml:space="preserve">Not all LINQ operation used in PLING is optimized and may lower the performance. </w:t>
      </w:r>
    </w:p>
    <w:p w14:paraId="27C46C96" w14:textId="77777777" w:rsidR="007C3016" w:rsidRPr="00C4772C" w:rsidRDefault="006E7D59" w:rsidP="006E7D59">
      <w:pPr>
        <w:pStyle w:val="ListParagraph"/>
        <w:numPr>
          <w:ilvl w:val="0"/>
          <w:numId w:val="1"/>
        </w:numPr>
        <w:jc w:val="both"/>
        <w:rPr>
          <w:rFonts w:ascii="Lora" w:hAnsi="Lora"/>
          <w:sz w:val="24"/>
          <w:szCs w:val="24"/>
        </w:rPr>
      </w:pPr>
      <w:r w:rsidRPr="00C4772C">
        <w:rPr>
          <w:rFonts w:ascii="Lora" w:hAnsi="Lora"/>
          <w:sz w:val="24"/>
          <w:szCs w:val="24"/>
        </w:rPr>
        <w:t xml:space="preserve">Select, SelectMany </w:t>
      </w:r>
      <w:r w:rsidR="007C3016" w:rsidRPr="00C4772C">
        <w:rPr>
          <w:rFonts w:ascii="Lora" w:hAnsi="Lora"/>
          <w:sz w:val="24"/>
          <w:szCs w:val="24"/>
        </w:rPr>
        <w:t>are implemented</w:t>
      </w:r>
      <w:r w:rsidRPr="00C4772C">
        <w:rPr>
          <w:rFonts w:ascii="Lora" w:hAnsi="Lora"/>
          <w:sz w:val="24"/>
          <w:szCs w:val="24"/>
        </w:rPr>
        <w:t xml:space="preserve"> efficiently</w:t>
      </w:r>
      <w:r w:rsidR="007C3016" w:rsidRPr="00C4772C">
        <w:rPr>
          <w:rFonts w:ascii="Lora" w:hAnsi="Lora"/>
          <w:sz w:val="24"/>
          <w:szCs w:val="24"/>
        </w:rPr>
        <w:t xml:space="preserve"> for parallel operation.</w:t>
      </w:r>
    </w:p>
    <w:p w14:paraId="68EB82E7" w14:textId="02A66284" w:rsidR="006E7D59" w:rsidRPr="00C4772C" w:rsidRDefault="007C3016" w:rsidP="006E7D59">
      <w:pPr>
        <w:pStyle w:val="ListParagraph"/>
        <w:numPr>
          <w:ilvl w:val="0"/>
          <w:numId w:val="1"/>
        </w:numPr>
        <w:jc w:val="both"/>
        <w:rPr>
          <w:rFonts w:ascii="Lora" w:hAnsi="Lora"/>
          <w:sz w:val="24"/>
          <w:szCs w:val="24"/>
        </w:rPr>
      </w:pPr>
      <w:r w:rsidRPr="00C4772C">
        <w:rPr>
          <w:rFonts w:ascii="Lora" w:hAnsi="Lora"/>
          <w:sz w:val="24"/>
          <w:szCs w:val="24"/>
        </w:rPr>
        <w:t>Join, GroupBy, GroupJoin, Distinct when be used in parallel fashion can sometimes be slower than regular sequence ones.</w:t>
      </w:r>
    </w:p>
    <w:p w14:paraId="222D7C5F" w14:textId="78DF49D5" w:rsidR="006E7D59" w:rsidRPr="00C4772C" w:rsidRDefault="007C3016" w:rsidP="007C3016">
      <w:pPr>
        <w:pStyle w:val="ListParagraph"/>
        <w:numPr>
          <w:ilvl w:val="0"/>
          <w:numId w:val="1"/>
        </w:numPr>
        <w:jc w:val="both"/>
        <w:rPr>
          <w:rFonts w:ascii="Lora" w:hAnsi="Lora"/>
          <w:sz w:val="24"/>
          <w:szCs w:val="24"/>
        </w:rPr>
      </w:pPr>
      <w:r w:rsidRPr="00C4772C">
        <w:rPr>
          <w:rFonts w:ascii="Lora" w:hAnsi="Lora"/>
          <w:sz w:val="24"/>
          <w:szCs w:val="24"/>
        </w:rPr>
        <w:t>All built-in Aggregate operation</w:t>
      </w:r>
      <w:r w:rsidR="00C4772C" w:rsidRPr="00C4772C">
        <w:rPr>
          <w:rFonts w:ascii="Lora" w:hAnsi="Lora"/>
          <w:sz w:val="24"/>
          <w:szCs w:val="24"/>
        </w:rPr>
        <w:t>s</w:t>
      </w:r>
      <w:r w:rsidRPr="00C4772C">
        <w:rPr>
          <w:rFonts w:ascii="Lora" w:hAnsi="Lora"/>
          <w:sz w:val="24"/>
          <w:szCs w:val="24"/>
        </w:rPr>
        <w:t xml:space="preserve"> such as Max, Min, Average, Sum perform well but not for custom Aggregate ones as its performance depends on its own implementation by users.</w:t>
      </w:r>
    </w:p>
    <w:p w14:paraId="7B093490" w14:textId="301328AC" w:rsidR="00C4772C" w:rsidRDefault="001A4CB5" w:rsidP="00C4772C">
      <w:pPr>
        <w:jc w:val="both"/>
        <w:rPr>
          <w:rFonts w:ascii="Arial Black" w:hAnsi="Arial Black"/>
          <w:sz w:val="24"/>
          <w:szCs w:val="24"/>
        </w:rPr>
      </w:pPr>
      <w:r w:rsidRPr="001A4CB5">
        <w:rPr>
          <w:rFonts w:ascii="Arial Black" w:hAnsi="Arial Black"/>
          <w:sz w:val="24"/>
          <w:szCs w:val="24"/>
        </w:rPr>
        <w:t>Optimizing PLINQ</w:t>
      </w:r>
    </w:p>
    <w:p w14:paraId="28AA8092" w14:textId="736306C2" w:rsidR="00A96A30" w:rsidRDefault="001A4CB5" w:rsidP="00C4772C">
      <w:pPr>
        <w:jc w:val="both"/>
        <w:rPr>
          <w:rFonts w:ascii="Lora" w:hAnsi="Lora"/>
          <w:sz w:val="24"/>
          <w:szCs w:val="24"/>
        </w:rPr>
      </w:pPr>
      <w:r w:rsidRPr="001A4CB5">
        <w:rPr>
          <w:rFonts w:ascii="Lora" w:hAnsi="Lora"/>
          <w:sz w:val="24"/>
          <w:szCs w:val="24"/>
        </w:rPr>
        <w:t xml:space="preserve">There </w:t>
      </w:r>
      <w:r>
        <w:rPr>
          <w:rFonts w:ascii="Lora" w:hAnsi="Lora"/>
          <w:sz w:val="24"/>
          <w:szCs w:val="24"/>
        </w:rPr>
        <w:t xml:space="preserve">are </w:t>
      </w:r>
      <w:r w:rsidR="00A96A30">
        <w:rPr>
          <w:rFonts w:ascii="Lora" w:hAnsi="Lora"/>
          <w:sz w:val="24"/>
          <w:szCs w:val="24"/>
        </w:rPr>
        <w:t xml:space="preserve">some </w:t>
      </w:r>
      <w:r>
        <w:rPr>
          <w:rFonts w:ascii="Lora" w:hAnsi="Lora"/>
          <w:sz w:val="24"/>
          <w:szCs w:val="24"/>
        </w:rPr>
        <w:t>optimization technique</w:t>
      </w:r>
      <w:r w:rsidR="00A96A30">
        <w:rPr>
          <w:rFonts w:ascii="Lora" w:hAnsi="Lora"/>
          <w:sz w:val="24"/>
          <w:szCs w:val="24"/>
        </w:rPr>
        <w:t>s</w:t>
      </w:r>
      <w:r>
        <w:rPr>
          <w:rFonts w:ascii="Lora" w:hAnsi="Lora"/>
          <w:sz w:val="24"/>
          <w:szCs w:val="24"/>
        </w:rPr>
        <w:t xml:space="preserve"> </w:t>
      </w:r>
      <w:r w:rsidR="00A96A30">
        <w:rPr>
          <w:rFonts w:ascii="Lora" w:hAnsi="Lora"/>
          <w:sz w:val="24"/>
          <w:szCs w:val="24"/>
        </w:rPr>
        <w:t>you can utilize to boost the performance for PLINQ.</w:t>
      </w:r>
    </w:p>
    <w:p w14:paraId="19EE572E" w14:textId="1FF18F9D" w:rsidR="0083308C" w:rsidRDefault="00154AFE" w:rsidP="00C4772C">
      <w:pPr>
        <w:jc w:val="both"/>
        <w:rPr>
          <w:rFonts w:ascii="Lora" w:hAnsi="Lora"/>
          <w:sz w:val="24"/>
          <w:szCs w:val="24"/>
        </w:rPr>
      </w:pPr>
      <w:r w:rsidRPr="0083308C">
        <w:rPr>
          <w:rFonts w:ascii="Lora" w:hAnsi="Lora"/>
          <w:sz w:val="24"/>
          <w:szCs w:val="24"/>
        </w:rPr>
        <w:lastRenderedPageBreak/>
        <w:t xml:space="preserve">One of PLINQ’s advantages is that it conveniently collates the results from parallelized work into a single output sequence. However, we sometimes don’t want this mechanism to happen and instead process each chunk of data independently. </w:t>
      </w:r>
    </w:p>
    <w:p w14:paraId="14D1ED9B" w14:textId="77777777" w:rsidR="0083308C" w:rsidRDefault="0083308C" w:rsidP="00C4772C">
      <w:pPr>
        <w:jc w:val="both"/>
        <w:rPr>
          <w:rFonts w:ascii="Lora" w:hAnsi="Lora"/>
          <w:sz w:val="24"/>
          <w:szCs w:val="24"/>
        </w:rPr>
      </w:pPr>
    </w:p>
    <w:p w14:paraId="39072435" w14:textId="67933129" w:rsidR="00597692" w:rsidRDefault="00154AFE" w:rsidP="00C4772C">
      <w:pPr>
        <w:jc w:val="both"/>
        <w:rPr>
          <w:rFonts w:ascii="Lora" w:hAnsi="Lora"/>
          <w:sz w:val="24"/>
          <w:szCs w:val="24"/>
        </w:rPr>
      </w:pPr>
      <w:r w:rsidRPr="0083308C">
        <w:rPr>
          <w:rFonts w:ascii="Lora" w:hAnsi="Lora"/>
          <w:sz w:val="24"/>
          <w:szCs w:val="24"/>
        </w:rPr>
        <w:t xml:space="preserve">To prevent this default mechanism, you use </w:t>
      </w:r>
      <w:proofErr w:type="spellStart"/>
      <w:r w:rsidRPr="0083308C">
        <w:rPr>
          <w:rFonts w:ascii="Lora" w:hAnsi="Lora"/>
          <w:sz w:val="24"/>
          <w:szCs w:val="24"/>
        </w:rPr>
        <w:t>ForAll</w:t>
      </w:r>
      <w:proofErr w:type="spellEnd"/>
      <w:r w:rsidR="0083308C" w:rsidRPr="0083308C">
        <w:rPr>
          <w:rFonts w:ascii="Lora" w:hAnsi="Lora"/>
          <w:sz w:val="24"/>
          <w:szCs w:val="24"/>
        </w:rPr>
        <w:t>() method which hooks directly into PLINQ’s internals, bypassing the steps of collating and enumerating the results</w:t>
      </w:r>
      <w:r w:rsidR="0083308C">
        <w:rPr>
          <w:rFonts w:ascii="Lora" w:hAnsi="Lora"/>
          <w:sz w:val="24"/>
          <w:szCs w:val="24"/>
        </w:rPr>
        <w:t>.</w:t>
      </w:r>
    </w:p>
    <w:p w14:paraId="0971C1A4" w14:textId="111D2BC8" w:rsidR="0083308C" w:rsidRPr="001A4CB5" w:rsidRDefault="0083308C" w:rsidP="00C4772C">
      <w:pPr>
        <w:jc w:val="both"/>
        <w:rPr>
          <w:rFonts w:ascii="Lora" w:hAnsi="Lora"/>
          <w:sz w:val="24"/>
          <w:szCs w:val="24"/>
        </w:rPr>
      </w:pPr>
      <w:r w:rsidRPr="0083308C">
        <w:rPr>
          <w:rFonts w:ascii="Consolas" w:hAnsi="Consolas"/>
          <w:color w:val="000000"/>
          <w:sz w:val="20"/>
          <w:szCs w:val="20"/>
        </w:rPr>
        <w:t>"</w:t>
      </w:r>
      <w:proofErr w:type="spellStart"/>
      <w:r w:rsidRPr="0083308C">
        <w:rPr>
          <w:rFonts w:ascii="Consolas" w:hAnsi="Consolas"/>
          <w:color w:val="000000"/>
          <w:sz w:val="20"/>
          <w:szCs w:val="20"/>
        </w:rPr>
        <w:t>abcdef</w:t>
      </w:r>
      <w:proofErr w:type="spellEnd"/>
      <w:r w:rsidRPr="0083308C">
        <w:rPr>
          <w:rFonts w:ascii="Consolas" w:hAnsi="Consolas"/>
          <w:color w:val="000000"/>
          <w:sz w:val="20"/>
          <w:szCs w:val="20"/>
        </w:rPr>
        <w:t>".</w:t>
      </w:r>
      <w:proofErr w:type="spellStart"/>
      <w:r w:rsidRPr="0083308C">
        <w:rPr>
          <w:rFonts w:ascii="Consolas" w:hAnsi="Consolas"/>
          <w:color w:val="000000"/>
          <w:sz w:val="20"/>
          <w:szCs w:val="20"/>
        </w:rPr>
        <w:t>AsParallel</w:t>
      </w:r>
      <w:proofErr w:type="spellEnd"/>
      <w:r w:rsidRPr="0083308C">
        <w:rPr>
          <w:rFonts w:ascii="Consolas" w:hAnsi="Consolas"/>
          <w:color w:val="000000"/>
          <w:sz w:val="20"/>
          <w:szCs w:val="20"/>
        </w:rPr>
        <w:t xml:space="preserve">().Select (c =&gt; </w:t>
      </w:r>
      <w:proofErr w:type="spellStart"/>
      <w:r w:rsidRPr="0083308C">
        <w:rPr>
          <w:rFonts w:ascii="Consolas" w:hAnsi="Consolas"/>
          <w:color w:val="000000"/>
          <w:sz w:val="20"/>
          <w:szCs w:val="20"/>
        </w:rPr>
        <w:t>char.ToUpper</w:t>
      </w:r>
      <w:proofErr w:type="spellEnd"/>
      <w:r w:rsidRPr="0083308C">
        <w:rPr>
          <w:rFonts w:ascii="Consolas" w:hAnsi="Consolas"/>
          <w:color w:val="000000"/>
          <w:sz w:val="20"/>
          <w:szCs w:val="20"/>
        </w:rPr>
        <w:t>(c)).</w:t>
      </w:r>
      <w:proofErr w:type="spellStart"/>
      <w:r w:rsidRPr="0083308C">
        <w:rPr>
          <w:rFonts w:ascii="Consolas" w:hAnsi="Consolas"/>
          <w:color w:val="000000"/>
          <w:sz w:val="20"/>
          <w:szCs w:val="20"/>
        </w:rPr>
        <w:t>ForAll</w:t>
      </w:r>
      <w:proofErr w:type="spellEnd"/>
      <w:r w:rsidRPr="0083308C"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 w:rsidRPr="0083308C">
        <w:rPr>
          <w:rFonts w:ascii="Consolas" w:hAnsi="Consolas"/>
          <w:color w:val="000000"/>
          <w:sz w:val="20"/>
          <w:szCs w:val="20"/>
        </w:rPr>
        <w:t>Console.Write</w:t>
      </w:r>
      <w:proofErr w:type="spellEnd"/>
      <w:r w:rsidRPr="0083308C">
        <w:rPr>
          <w:rFonts w:ascii="Consolas" w:hAnsi="Consolas"/>
          <w:color w:val="000000"/>
          <w:sz w:val="20"/>
          <w:szCs w:val="20"/>
        </w:rPr>
        <w:t>);</w:t>
      </w:r>
    </w:p>
    <w:p w14:paraId="7C5DBE3F" w14:textId="77777777" w:rsidR="001A4CB5" w:rsidRPr="001A4CB5" w:rsidRDefault="001A4CB5" w:rsidP="00C4772C">
      <w:pPr>
        <w:jc w:val="both"/>
        <w:rPr>
          <w:rFonts w:ascii="Lora" w:hAnsi="Lora"/>
          <w:sz w:val="24"/>
          <w:szCs w:val="24"/>
        </w:rPr>
      </w:pPr>
    </w:p>
    <w:sectPr w:rsidR="001A4CB5" w:rsidRPr="001A4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9A56B" w14:textId="77777777" w:rsidR="00B508EA" w:rsidRDefault="00B508EA" w:rsidP="004B3E6D">
      <w:pPr>
        <w:spacing w:after="0" w:line="240" w:lineRule="auto"/>
      </w:pPr>
      <w:r>
        <w:separator/>
      </w:r>
    </w:p>
  </w:endnote>
  <w:endnote w:type="continuationSeparator" w:id="0">
    <w:p w14:paraId="419A15B2" w14:textId="77777777" w:rsidR="00B508EA" w:rsidRDefault="00B508EA" w:rsidP="004B3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A6611" w14:textId="77777777" w:rsidR="00B508EA" w:rsidRDefault="00B508EA" w:rsidP="004B3E6D">
      <w:pPr>
        <w:spacing w:after="0" w:line="240" w:lineRule="auto"/>
      </w:pPr>
      <w:r>
        <w:separator/>
      </w:r>
    </w:p>
  </w:footnote>
  <w:footnote w:type="continuationSeparator" w:id="0">
    <w:p w14:paraId="75A29E96" w14:textId="77777777" w:rsidR="00B508EA" w:rsidRDefault="00B508EA" w:rsidP="004B3E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E37507"/>
    <w:multiLevelType w:val="hybridMultilevel"/>
    <w:tmpl w:val="9DB80266"/>
    <w:lvl w:ilvl="0" w:tplc="C4209E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108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0FA"/>
    <w:rsid w:val="00154AFE"/>
    <w:rsid w:val="001A4CB5"/>
    <w:rsid w:val="002E1291"/>
    <w:rsid w:val="004B3E6D"/>
    <w:rsid w:val="00514254"/>
    <w:rsid w:val="00597692"/>
    <w:rsid w:val="006E7D59"/>
    <w:rsid w:val="007C3016"/>
    <w:rsid w:val="0083308C"/>
    <w:rsid w:val="008C595B"/>
    <w:rsid w:val="009420FA"/>
    <w:rsid w:val="00A96A30"/>
    <w:rsid w:val="00B508EA"/>
    <w:rsid w:val="00C4772C"/>
    <w:rsid w:val="00C50149"/>
    <w:rsid w:val="00EA2CC0"/>
    <w:rsid w:val="00ED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2CCFB"/>
  <w15:chartTrackingRefBased/>
  <w15:docId w15:val="{2EEF16E5-47DA-4692-AAAA-EE0AFB863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7D59"/>
    <w:pPr>
      <w:ind w:left="720"/>
      <w:contextualSpacing/>
    </w:pPr>
  </w:style>
  <w:style w:type="character" w:customStyle="1" w:styleId="fontstyle01">
    <w:name w:val="fontstyle01"/>
    <w:basedOn w:val="DefaultParagraphFont"/>
    <w:rsid w:val="001A4CB5"/>
    <w:rPr>
      <w:rFonts w:ascii="Arial-BoldMT" w:hAnsi="Arial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DefaultParagraphFont"/>
    <w:rsid w:val="0083308C"/>
    <w:rPr>
      <w:rFonts w:ascii="Consolas" w:hAnsi="Consolas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B3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E6D"/>
  </w:style>
  <w:style w:type="paragraph" w:styleId="Footer">
    <w:name w:val="footer"/>
    <w:basedOn w:val="Normal"/>
    <w:link w:val="FooterChar"/>
    <w:uiPriority w:val="99"/>
    <w:unhideWhenUsed/>
    <w:rsid w:val="004B3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7</cp:revision>
  <dcterms:created xsi:type="dcterms:W3CDTF">2022-04-09T08:08:00Z</dcterms:created>
  <dcterms:modified xsi:type="dcterms:W3CDTF">2022-04-11T09:19:00Z</dcterms:modified>
</cp:coreProperties>
</file>