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aps/>
          <w:color w:val="CC0000"/>
          <w:sz w:val="52"/>
          <w:szCs w:val="52"/>
        </w:rPr>
        <w:t xml:space="preserve">LUFALIGHT</w:t>
      </w:r>
    </w:p>
    <w:p>
      <w:pPr>
        <w:spacing w:after="80" w:before="0"/>
        <w:jc w:val="center"/>
      </w:pPr>
      <w:r>
        <w:rPr>
          <w:rFonts w:ascii="Arial" w:cs="Arial" w:eastAsia="Arial" w:hAnsi="Arial"/>
          <w:color w:val="C8972A"/>
          <w:sz w:val="28"/>
          <w:szCs w:val="28"/>
        </w:rPr>
        <w:t xml:space="preserve">AI Chatbot — Frequently Asked Questions</w:t>
      </w:r>
    </w:p>
    <w:p>
      <w:pPr>
        <w:spacing w:after="40" w:before="0"/>
        <w:jc w:val="center"/>
      </w:pPr>
      <w:r>
        <w:rPr>
          <w:rFonts w:ascii="Arial" w:cs="Arial" w:eastAsia="Arial" w:hAnsi="Arial"/>
          <w:i/>
          <w:iCs/>
          <w:color w:val="666666"/>
          <w:sz w:val="18"/>
          <w:szCs w:val="18"/>
        </w:rPr>
        <w:t xml:space="preserve">Sorted by frequency of occurrence | B2C — English | v1.0</w:t>
      </w:r>
    </w:p>
    <w:p>
      <w:pPr>
        <w:pBdr>
          <w:bottom w:val="thick" w:color="CC0000" w:sz="12" w:space="1"/>
        </w:pBdr>
        <w:spacing w:after="400" w:before="0"/>
        <w:jc w:val="center"/>
      </w:pPr>
      <w:r>
        <w:rPr>
          <w:rFonts w:ascii="Arial" w:cs="Arial" w:eastAsia="Arial" w:hAnsi="Arial"/>
          <w:b/>
          <w:bCs/>
          <w:color w:val="666666"/>
          <w:sz w:val="18"/>
          <w:szCs w:val="18"/>
        </w:rPr>
        <w:t xml:space="preserve">Total: 47 questions across 5 categories</w:t>
      </w:r>
    </w:p>
    <w:p>
      <w:pPr>
        <w:pBdr>
          <w:bottom w:val="single" w:color="CC0000" w:sz="8" w:space="1"/>
        </w:pBdr>
        <w:spacing w:after="160" w:before="400"/>
      </w:pPr>
      <w:r>
        <w:rPr>
          <w:rFonts w:ascii="Arial" w:cs="Arial" w:eastAsia="Arial" w:hAnsi="Arial"/>
          <w:b/>
          <w:bCs/>
          <w:caps/>
          <w:color w:val="CC0000"/>
          <w:sz w:val="26"/>
          <w:szCs w:val="26"/>
        </w:rPr>
        <w:t xml:space="preserve">PRODUCT CONSULTATION &amp;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left w:val="none"/>
              <w:bottom w:val="none"/>
              <w:right w:val="none"/>
            </w:tcBorders>
            <w:shd w:fill="F5F5F5" w:val="clear"/>
            <w:tcMar>
              <w:top w:type="dxa" w:w="80"/>
              <w:left w:type="dxa" w:w="100"/>
              <w:bottom w:type="dxa" w:w="0"/>
              <w:right w:type="dxa" w:w="60"/>
            </w:tcMar>
            <w:vAlign w:val="top"/>
          </w:tcPr>
          <w:p>
            <w:pPr>
              <w:jc w:val="center"/>
            </w:pPr>
            <w:r>
              <w:rPr>
                <w:rFonts w:ascii="Arial" w:cs="Arial" w:eastAsia="Arial" w:hAnsi="Arial"/>
                <w:b/>
                <w:bCs/>
                <w:color w:val="CC0000"/>
                <w:sz w:val="20"/>
                <w:szCs w:val="20"/>
              </w:rPr>
              <w:t xml:space="preserve">1</w:t>
            </w:r>
          </w:p>
        </w:tc>
        <w:tc>
          <w:tcPr>
            <w:tcW w:type="dxa" w:w="8640"/>
            <w:tcBorders>
              <w:top w:val="none"/>
              <w:left w:val="none"/>
              <w:bottom w:val="none"/>
              <w:right w:val="none"/>
            </w:tcBorders>
            <w:shd w:fill="F5F5F5" w:val="clear"/>
            <w:tcMar>
              <w:top w:type="dxa" w:w="80"/>
              <w:left w:type="dxa" w:w="100"/>
              <w:bottom w:type="dxa" w:w="80"/>
              <w:right w:type="dxa" w:w="100"/>
            </w:tcMar>
            <w:vAlign w:val="top"/>
          </w:tcPr>
          <w:p>
            <w:pPr>
              <w:spacing w:after="60" w:before="0"/>
            </w:pPr>
            <w:r>
              <w:rPr>
                <w:rFonts w:ascii="Arial" w:cs="Arial" w:eastAsia="Arial" w:hAnsi="Arial"/>
                <w:b/>
                <w:bCs/>
                <w:color w:val="1A1A1A"/>
                <w:sz w:val="22"/>
                <w:szCs w:val="22"/>
              </w:rPr>
              <w:t xml:space="preserve">What is red light therapy and how does it work?</w:t>
            </w:r>
          </w:p>
          <w:p>
            <w:pPr>
              <w:spacing w:after="80" w:before="0"/>
            </w:pPr>
            <w:r>
              <w:rPr>
                <w:rFonts w:ascii="Arial" w:cs="Arial" w:eastAsia="Arial" w:hAnsi="Arial"/>
                <w:color w:val="333333"/>
                <w:sz w:val="20"/>
                <w:szCs w:val="20"/>
              </w:rPr>
              <w:t xml:space="preserve">Red light therapy (also called Photobiomodulation / PBM) uses specific wavelengths of red (630–660 nm) and near-infrared (NIR, 810–1060 nm) light to stimulate mitochondria in your cells. This boosts ATP (cellular energy) production, reduces inflammation, promotes tissue repair, and improves circulation — all without heat or UV radiation.</w:t>
            </w:r>
          </w:p>
        </w:tc>
      </w:tr>
      <w:tr>
        <w:tc>
          <w:tcPr>
            <w:tcW w:type="dxa" w:w="720"/>
            <w:tcBorders>
              <w:top w:val="none"/>
              <w:left w:val="none"/>
              <w:bottom w:val="none"/>
              <w:right w:val="none"/>
            </w:tcBorders>
            <w:shd w:fill="FFFFFF" w:val="clear"/>
            <w:tcMar>
              <w:top w:type="dxa" w:w="80"/>
              <w:left w:type="dxa" w:w="100"/>
              <w:bottom w:type="dxa" w:w="0"/>
              <w:right w:type="dxa" w:w="60"/>
            </w:tcMar>
            <w:vAlign w:val="top"/>
          </w:tcPr>
          <w:p>
            <w:pPr>
              <w:jc w:val="center"/>
            </w:pPr>
            <w:r>
              <w:rPr>
                <w:rFonts w:ascii="Arial" w:cs="Arial" w:eastAsia="Arial" w:hAnsi="Arial"/>
                <w:b/>
                <w:bCs/>
                <w:color w:val="CC0000"/>
                <w:sz w:val="20"/>
                <w:szCs w:val="20"/>
              </w:rPr>
              <w:t xml:space="preserve">2</w:t>
            </w:r>
          </w:p>
        </w:tc>
        <w:tc>
          <w:tcPr>
            <w:tcW w:type="dxa" w:w="8640"/>
            <w:tcBorders>
              <w:top w:val="none"/>
              <w:left w:val="none"/>
              <w:bottom w:val="none"/>
              <w:right w:val="none"/>
            </w:tcBorders>
            <w:shd w:fill="FFFFFF" w:val="clear"/>
            <w:tcMar>
              <w:top w:type="dxa" w:w="80"/>
              <w:left w:type="dxa" w:w="100"/>
              <w:bottom w:type="dxa" w:w="80"/>
              <w:right w:type="dxa" w:w="100"/>
            </w:tcMar>
            <w:vAlign w:val="top"/>
          </w:tcPr>
          <w:p>
            <w:pPr>
              <w:spacing w:after="60" w:before="0"/>
            </w:pPr>
            <w:r>
              <w:rPr>
                <w:rFonts w:ascii="Arial" w:cs="Arial" w:eastAsia="Arial" w:hAnsi="Arial"/>
                <w:b/>
                <w:bCs/>
                <w:color w:val="1A1A1A"/>
                <w:sz w:val="22"/>
                <w:szCs w:val="22"/>
              </w:rPr>
              <w:t xml:space="preserve">Which LUFALIGHT device is right for me?</w:t>
            </w:r>
          </w:p>
          <w:p>
            <w:pPr>
              <w:spacing w:after="80" w:before="0"/>
            </w:pPr>
            <w:r>
              <w:rPr>
                <w:rFonts w:ascii="Arial" w:cs="Arial" w:eastAsia="Arial" w:hAnsi="Arial"/>
                <w:color w:val="333333"/>
                <w:sz w:val="20"/>
                <w:szCs w:val="20"/>
              </w:rPr>
              <w:t xml:space="preserve">It depends on your primary goal: (1) Face/skin: ClearGlow Face Mask (G15) or ClearGlow Pro Face + Neck (G15P); (2) Pain/recovery: RecoverPro Desktop (P40B) or PainRelief Mini Pro (MINI60PRO); (3) Full-body wellness: BioShield BK300 (flagship) or BodyMax panels; (4) Hair growth: HGrowCap Pro (C01); (5) Sleep support: SleepGlow Eye Mask (EM04). Use our Fit Finder quiz on the website for a personalized recommendation.</w:t>
            </w:r>
          </w:p>
        </w:tc>
      </w:tr>
      <w:tr>
        <w:tc>
          <w:tcPr>
            <w:tcW w:type="dxa" w:w="720"/>
            <w:tcBorders>
              <w:top w:val="none"/>
              <w:left w:val="none"/>
              <w:bottom w:val="none"/>
              <w:right w:val="none"/>
            </w:tcBorders>
            <w:shd w:fill="F5F5F5" w:val="clear"/>
            <w:tcMar>
              <w:top w:type="dxa" w:w="80"/>
              <w:left w:type="dxa" w:w="100"/>
              <w:bottom w:type="dxa" w:w="0"/>
              <w:right w:type="dxa" w:w="60"/>
            </w:tcMar>
            <w:vAlign w:val="top"/>
          </w:tcPr>
          <w:p>
            <w:pPr>
              <w:jc w:val="center"/>
            </w:pPr>
            <w:r>
              <w:rPr>
                <w:rFonts w:ascii="Arial" w:cs="Arial" w:eastAsia="Arial" w:hAnsi="Arial"/>
                <w:b/>
                <w:bCs/>
                <w:color w:val="CC0000"/>
                <w:sz w:val="20"/>
                <w:szCs w:val="20"/>
              </w:rPr>
              <w:t xml:space="preserve">3</w:t>
            </w:r>
          </w:p>
        </w:tc>
        <w:tc>
          <w:tcPr>
            <w:tcW w:type="dxa" w:w="8640"/>
            <w:tcBorders>
              <w:top w:val="none"/>
              <w:left w:val="none"/>
              <w:bottom w:val="none"/>
              <w:right w:val="none"/>
            </w:tcBorders>
            <w:shd w:fill="F5F5F5" w:val="clear"/>
            <w:tcMar>
              <w:top w:type="dxa" w:w="80"/>
              <w:left w:type="dxa" w:w="100"/>
              <w:bottom w:type="dxa" w:w="80"/>
              <w:right w:type="dxa" w:w="100"/>
            </w:tcMar>
            <w:vAlign w:val="top"/>
          </w:tcPr>
          <w:p>
            <w:pPr>
              <w:spacing w:after="60" w:before="0"/>
            </w:pPr>
            <w:r>
              <w:rPr>
                <w:rFonts w:ascii="Arial" w:cs="Arial" w:eastAsia="Arial" w:hAnsi="Arial"/>
                <w:b/>
                <w:bCs/>
                <w:color w:val="1A1A1A"/>
                <w:sz w:val="22"/>
                <w:szCs w:val="22"/>
              </w:rPr>
              <w:t xml:space="preserve">What is the difference between red light and near-infrared (NIR) light?</w:t>
            </w:r>
          </w:p>
          <w:p>
            <w:pPr>
              <w:spacing w:after="80" w:before="0"/>
            </w:pPr>
            <w:r>
              <w:rPr>
                <w:rFonts w:ascii="Arial" w:cs="Arial" w:eastAsia="Arial" w:hAnsi="Arial"/>
                <w:color w:val="333333"/>
                <w:sz w:val="20"/>
                <w:szCs w:val="20"/>
              </w:rPr>
              <w:t xml:space="preserve">Red light (630–660 nm) penetrates the skin surface — ideal for skin rejuvenation, collagen, and wound healing. NIR light (810–1060 nm) penetrates deeper into muscles, joints, and bones — better for pain relief, inflammation, and recovery. Most LUFALIGHT devices combine both wavelengths for maximum benefit.</w:t>
            </w:r>
          </w:p>
        </w:tc>
      </w:tr>
      <w:tr>
        <w:tc>
          <w:tcPr>
            <w:tcW w:type="dxa" w:w="720"/>
            <w:tcBorders>
              <w:top w:val="none"/>
              <w:left w:val="none"/>
              <w:bottom w:val="none"/>
              <w:right w:val="none"/>
            </w:tcBorders>
            <w:shd w:fill="FFFFFF" w:val="clear"/>
            <w:tcMar>
              <w:top w:type="dxa" w:w="80"/>
              <w:left w:type="dxa" w:w="100"/>
              <w:bottom w:type="dxa" w:w="0"/>
              <w:right w:type="dxa" w:w="60"/>
            </w:tcMar>
            <w:vAlign w:val="top"/>
          </w:tcPr>
          <w:p>
            <w:pPr>
              <w:jc w:val="center"/>
            </w:pPr>
            <w:r>
              <w:rPr>
                <w:rFonts w:ascii="Arial" w:cs="Arial" w:eastAsia="Arial" w:hAnsi="Arial"/>
                <w:b/>
                <w:bCs/>
                <w:color w:val="CC0000"/>
                <w:sz w:val="20"/>
                <w:szCs w:val="20"/>
              </w:rPr>
              <w:t xml:space="preserve">4</w:t>
            </w:r>
          </w:p>
        </w:tc>
        <w:tc>
          <w:tcPr>
            <w:tcW w:type="dxa" w:w="8640"/>
            <w:tcBorders>
              <w:top w:val="none"/>
              <w:left w:val="none"/>
              <w:bottom w:val="none"/>
              <w:right w:val="none"/>
            </w:tcBorders>
            <w:shd w:fill="FFFFFF" w:val="clear"/>
            <w:tcMar>
              <w:top w:type="dxa" w:w="80"/>
              <w:left w:type="dxa" w:w="100"/>
              <w:bottom w:type="dxa" w:w="80"/>
              <w:right w:type="dxa" w:w="100"/>
            </w:tcMar>
            <w:vAlign w:val="top"/>
          </w:tcPr>
          <w:p>
            <w:pPr>
              <w:spacing w:after="60" w:before="0"/>
            </w:pPr>
            <w:r>
              <w:rPr>
                <w:rFonts w:ascii="Arial" w:cs="Arial" w:eastAsia="Arial" w:hAnsi="Arial"/>
                <w:b/>
                <w:bCs/>
                <w:color w:val="1A1A1A"/>
                <w:sz w:val="22"/>
                <w:szCs w:val="22"/>
              </w:rPr>
              <w:t xml:space="preserve">What makes the BioShield BK300 special?</w:t>
            </w:r>
          </w:p>
          <w:p>
            <w:pPr>
              <w:spacing w:after="80" w:before="0"/>
            </w:pPr>
            <w:r>
              <w:rPr>
                <w:rFonts w:ascii="Arial" w:cs="Arial" w:eastAsia="Arial" w:hAnsi="Arial"/>
                <w:color w:val="333333"/>
                <w:sz w:val="20"/>
                <w:szCs w:val="20"/>
              </w:rPr>
              <w:t xml:space="preserve">The BK300 is our flagship and most differentiated product. It combines dual certified UVB therapy (295 nm + 311 nm), standard Red/NIR, AND 1060 nm Ultra-Deep NIR — a wavelength combination not found in any competitor. It is FDA-Cleared at the device level, ISO 13485 and IEC 60601 certified, with published irradiance of 150 mW/cm². It carries an Exclusive to LUFALIGHT designation.</w:t>
            </w:r>
          </w:p>
        </w:tc>
      </w:tr>
      <w:tr>
        <w:tc>
          <w:tcPr>
            <w:tcW w:type="dxa" w:w="720"/>
            <w:tcBorders>
              <w:top w:val="none"/>
              <w:left w:val="none"/>
              <w:bottom w:val="none"/>
              <w:right w:val="none"/>
            </w:tcBorders>
            <w:shd w:fill="F5F5F5" w:val="clear"/>
            <w:tcMar>
              <w:top w:type="dxa" w:w="80"/>
              <w:left w:type="dxa" w:w="100"/>
              <w:bottom w:type="dxa" w:w="0"/>
              <w:right w:type="dxa" w:w="60"/>
            </w:tcMar>
            <w:vAlign w:val="top"/>
          </w:tcPr>
          <w:p>
            <w:pPr>
              <w:jc w:val="center"/>
            </w:pPr>
            <w:r>
              <w:rPr>
                <w:rFonts w:ascii="Arial" w:cs="Arial" w:eastAsia="Arial" w:hAnsi="Arial"/>
                <w:b/>
                <w:bCs/>
                <w:color w:val="CC0000"/>
                <w:sz w:val="20"/>
                <w:szCs w:val="20"/>
              </w:rPr>
              <w:t xml:space="preserve">5</w:t>
            </w:r>
          </w:p>
        </w:tc>
        <w:tc>
          <w:tcPr>
            <w:tcW w:type="dxa" w:w="8640"/>
            <w:tcBorders>
              <w:top w:val="none"/>
              <w:left w:val="none"/>
              <w:bottom w:val="none"/>
              <w:right w:val="none"/>
            </w:tcBorders>
            <w:shd w:fill="F5F5F5" w:val="clear"/>
            <w:tcMar>
              <w:top w:type="dxa" w:w="80"/>
              <w:left w:type="dxa" w:w="100"/>
              <w:bottom w:type="dxa" w:w="80"/>
              <w:right w:type="dxa" w:w="100"/>
            </w:tcMar>
            <w:vAlign w:val="top"/>
          </w:tcPr>
          <w:p>
            <w:pPr>
              <w:spacing w:after="60" w:before="0"/>
            </w:pPr>
            <w:r>
              <w:rPr>
                <w:rFonts w:ascii="Arial" w:cs="Arial" w:eastAsia="Arial" w:hAnsi="Arial"/>
                <w:b/>
                <w:bCs/>
                <w:color w:val="1A1A1A"/>
                <w:sz w:val="22"/>
                <w:szCs w:val="22"/>
              </w:rPr>
              <w:t xml:space="preserve">Can I use red light therapy if I have a specific health condition?</w:t>
            </w:r>
          </w:p>
          <w:p>
            <w:pPr>
              <w:spacing w:after="80" w:before="0"/>
            </w:pPr>
            <w:r>
              <w:rPr>
                <w:rFonts w:ascii="Arial" w:cs="Arial" w:eastAsia="Arial" w:hAnsi="Arial"/>
                <w:color w:val="333333"/>
                <w:sz w:val="20"/>
                <w:szCs w:val="20"/>
              </w:rPr>
              <w:t xml:space="preserve">Red light therapy is generally safe and non-invasive. However, if you have photosensitive conditions, are on photosensitizing medications, have active cancer, or are pregnant, please consult your doctor before use. Always read the contraindications section in your device manual.</w:t>
            </w:r>
          </w:p>
        </w:tc>
      </w:tr>
      <w:tr>
        <w:tc>
          <w:tcPr>
            <w:tcW w:type="dxa" w:w="720"/>
            <w:tcBorders>
              <w:top w:val="none"/>
              <w:left w:val="none"/>
              <w:bottom w:val="none"/>
              <w:right w:val="none"/>
            </w:tcBorders>
            <w:shd w:fill="FFFFFF" w:val="clear"/>
            <w:tcMar>
              <w:top w:type="dxa" w:w="80"/>
              <w:left w:type="dxa" w:w="100"/>
              <w:bottom w:type="dxa" w:w="0"/>
              <w:right w:type="dxa" w:w="60"/>
            </w:tcMar>
            <w:vAlign w:val="top"/>
          </w:tcPr>
          <w:p>
            <w:pPr>
              <w:jc w:val="center"/>
            </w:pPr>
            <w:r>
              <w:rPr>
                <w:rFonts w:ascii="Arial" w:cs="Arial" w:eastAsia="Arial" w:hAnsi="Arial"/>
                <w:b/>
                <w:bCs/>
                <w:color w:val="CC0000"/>
                <w:sz w:val="20"/>
                <w:szCs w:val="20"/>
              </w:rPr>
              <w:t xml:space="preserve">6</w:t>
            </w:r>
          </w:p>
        </w:tc>
        <w:tc>
          <w:tcPr>
            <w:tcW w:type="dxa" w:w="8640"/>
            <w:tcBorders>
              <w:top w:val="none"/>
              <w:left w:val="none"/>
              <w:bottom w:val="none"/>
              <w:right w:val="none"/>
            </w:tcBorders>
            <w:shd w:fill="FFFFFF" w:val="clear"/>
            <w:tcMar>
              <w:top w:type="dxa" w:w="80"/>
              <w:left w:type="dxa" w:w="100"/>
              <w:bottom w:type="dxa" w:w="80"/>
              <w:right w:type="dxa" w:w="100"/>
            </w:tcMar>
            <w:vAlign w:val="top"/>
          </w:tcPr>
          <w:p>
            <w:pPr>
              <w:spacing w:after="60" w:before="0"/>
            </w:pPr>
            <w:r>
              <w:rPr>
                <w:rFonts w:ascii="Arial" w:cs="Arial" w:eastAsia="Arial" w:hAnsi="Arial"/>
                <w:b/>
                <w:bCs/>
                <w:color w:val="1A1A1A"/>
                <w:sz w:val="22"/>
                <w:szCs w:val="22"/>
              </w:rPr>
              <w:t xml:space="preserve">Is red light therapy safe? Are there any side effects?</w:t>
            </w:r>
          </w:p>
          <w:p>
            <w:pPr>
              <w:spacing w:after="80" w:before="0"/>
            </w:pPr>
            <w:r>
              <w:rPr>
                <w:rFonts w:ascii="Arial" w:cs="Arial" w:eastAsia="Arial" w:hAnsi="Arial"/>
                <w:color w:val="333333"/>
                <w:sz w:val="20"/>
                <w:szCs w:val="20"/>
              </w:rPr>
              <w:t xml:space="preserve">Yes, red light therapy is considered safe when used as directed. It produces no UV radiation and minimal heat. Possible minor side effects include temporary skin redness or mild eye sensitivity if used without protection. Always wear the provided eye protection during facial sessions.</w:t>
            </w:r>
          </w:p>
        </w:tc>
      </w:tr>
      <w:tr>
        <w:tc>
          <w:tcPr>
            <w:tcW w:type="dxa" w:w="720"/>
            <w:tcBorders>
              <w:top w:val="none"/>
              <w:left w:val="none"/>
              <w:bottom w:val="none"/>
              <w:right w:val="none"/>
            </w:tcBorders>
            <w:shd w:fill="F5F5F5" w:val="clear"/>
            <w:tcMar>
              <w:top w:type="dxa" w:w="80"/>
              <w:left w:type="dxa" w:w="100"/>
              <w:bottom w:type="dxa" w:w="0"/>
              <w:right w:type="dxa" w:w="60"/>
            </w:tcMar>
            <w:vAlign w:val="top"/>
          </w:tcPr>
          <w:p>
            <w:pPr>
              <w:jc w:val="center"/>
            </w:pPr>
            <w:r>
              <w:rPr>
                <w:rFonts w:ascii="Arial" w:cs="Arial" w:eastAsia="Arial" w:hAnsi="Arial"/>
                <w:b/>
                <w:bCs/>
                <w:color w:val="CC0000"/>
                <w:sz w:val="20"/>
                <w:szCs w:val="20"/>
              </w:rPr>
              <w:t xml:space="preserve">7</w:t>
            </w:r>
          </w:p>
        </w:tc>
        <w:tc>
          <w:tcPr>
            <w:tcW w:type="dxa" w:w="8640"/>
            <w:tcBorders>
              <w:top w:val="none"/>
              <w:left w:val="none"/>
              <w:bottom w:val="none"/>
              <w:right w:val="none"/>
            </w:tcBorders>
            <w:shd w:fill="F5F5F5" w:val="clear"/>
            <w:tcMar>
              <w:top w:type="dxa" w:w="80"/>
              <w:left w:type="dxa" w:w="100"/>
              <w:bottom w:type="dxa" w:w="80"/>
              <w:right w:type="dxa" w:w="100"/>
            </w:tcMar>
            <w:vAlign w:val="top"/>
          </w:tcPr>
          <w:p>
            <w:pPr>
              <w:spacing w:after="60" w:before="0"/>
            </w:pPr>
            <w:r>
              <w:rPr>
                <w:rFonts w:ascii="Arial" w:cs="Arial" w:eastAsia="Arial" w:hAnsi="Arial"/>
                <w:b/>
                <w:bCs/>
                <w:color w:val="1A1A1A"/>
                <w:sz w:val="22"/>
                <w:szCs w:val="22"/>
              </w:rPr>
              <w:t xml:space="preserve">What wavelengths do LUFALIGHT devices use?</w:t>
            </w:r>
          </w:p>
          <w:p>
            <w:pPr>
              <w:spacing w:after="80" w:before="0"/>
            </w:pPr>
            <w:r>
              <w:rPr>
                <w:rFonts w:ascii="Arial" w:cs="Arial" w:eastAsia="Arial" w:hAnsi="Arial"/>
                <w:color w:val="333333"/>
                <w:sz w:val="20"/>
                <w:szCs w:val="20"/>
              </w:rPr>
              <w:t xml:space="preserve">Our devices use clinically studied wavelengths: 630 nm, 660 nm (red), 810 nm, 850 nm, 940 nm, 1060 nm (NIR), and 295 nm / 311 nm UVB (BK300 only). Each wavelength targets different tissue depths and biological processes.</w:t>
            </w:r>
          </w:p>
        </w:tc>
      </w:tr>
      <w:tr>
        <w:tc>
          <w:tcPr>
            <w:tcW w:type="dxa" w:w="720"/>
            <w:tcBorders>
              <w:top w:val="none"/>
              <w:left w:val="none"/>
              <w:bottom w:val="none"/>
              <w:right w:val="none"/>
            </w:tcBorders>
            <w:shd w:fill="FFFFFF" w:val="clear"/>
            <w:tcMar>
              <w:top w:type="dxa" w:w="80"/>
              <w:left w:type="dxa" w:w="100"/>
              <w:bottom w:type="dxa" w:w="0"/>
              <w:right w:type="dxa" w:w="60"/>
            </w:tcMar>
            <w:vAlign w:val="top"/>
          </w:tcPr>
          <w:p>
            <w:pPr>
              <w:jc w:val="center"/>
            </w:pPr>
            <w:r>
              <w:rPr>
                <w:rFonts w:ascii="Arial" w:cs="Arial" w:eastAsia="Arial" w:hAnsi="Arial"/>
                <w:b/>
                <w:bCs/>
                <w:color w:val="CC0000"/>
                <w:sz w:val="20"/>
                <w:szCs w:val="20"/>
              </w:rPr>
              <w:t xml:space="preserve">8</w:t>
            </w:r>
          </w:p>
        </w:tc>
        <w:tc>
          <w:tcPr>
            <w:tcW w:type="dxa" w:w="8640"/>
            <w:tcBorders>
              <w:top w:val="none"/>
              <w:left w:val="none"/>
              <w:bottom w:val="none"/>
              <w:right w:val="none"/>
            </w:tcBorders>
            <w:shd w:fill="FFFFFF" w:val="clear"/>
            <w:tcMar>
              <w:top w:type="dxa" w:w="80"/>
              <w:left w:type="dxa" w:w="100"/>
              <w:bottom w:type="dxa" w:w="80"/>
              <w:right w:type="dxa" w:w="100"/>
            </w:tcMar>
            <w:vAlign w:val="top"/>
          </w:tcPr>
          <w:p>
            <w:pPr>
              <w:spacing w:after="60" w:before="0"/>
            </w:pPr>
            <w:r>
              <w:rPr>
                <w:rFonts w:ascii="Arial" w:cs="Arial" w:eastAsia="Arial" w:hAnsi="Arial"/>
                <w:b/>
                <w:bCs/>
                <w:color w:val="1A1A1A"/>
                <w:sz w:val="22"/>
                <w:szCs w:val="22"/>
              </w:rPr>
              <w:t xml:space="preserve">How is LUFALIGHT different from competitors like Joovv or Mito Red Light?</w:t>
            </w:r>
          </w:p>
          <w:p>
            <w:pPr>
              <w:spacing w:after="80" w:before="0"/>
            </w:pPr>
            <w:r>
              <w:rPr>
                <w:rFonts w:ascii="Arial" w:cs="Arial" w:eastAsia="Arial" w:hAnsi="Arial"/>
                <w:color w:val="333333"/>
                <w:sz w:val="20"/>
                <w:szCs w:val="20"/>
              </w:rPr>
              <w:t xml:space="preserve">LUFALIGHT devices are priced 20–30% below comparable competitors while offering equal or superior specifications. Our flagship BK300 includes the 1060 nm Ultra-Deep NIR wavelength and dual certified UVB — features no competitor currently offers at any price. All devices carry FDA, ISO 13485, and IEC 60601 certifications.</w:t>
            </w:r>
          </w:p>
        </w:tc>
      </w:tr>
      <w:tr>
        <w:tc>
          <w:tcPr>
            <w:tcW w:type="dxa" w:w="720"/>
            <w:tcBorders>
              <w:top w:val="none"/>
              <w:left w:val="none"/>
              <w:bottom w:val="none"/>
              <w:right w:val="none"/>
            </w:tcBorders>
            <w:shd w:fill="F5F5F5" w:val="clear"/>
            <w:tcMar>
              <w:top w:type="dxa" w:w="80"/>
              <w:left w:type="dxa" w:w="100"/>
              <w:bottom w:type="dxa" w:w="0"/>
              <w:right w:type="dxa" w:w="60"/>
            </w:tcMar>
            <w:vAlign w:val="top"/>
          </w:tcPr>
          <w:p>
            <w:pPr>
              <w:jc w:val="center"/>
            </w:pPr>
            <w:r>
              <w:rPr>
                <w:rFonts w:ascii="Arial" w:cs="Arial" w:eastAsia="Arial" w:hAnsi="Arial"/>
                <w:b/>
                <w:bCs/>
                <w:color w:val="CC0000"/>
                <w:sz w:val="20"/>
                <w:szCs w:val="20"/>
              </w:rPr>
              <w:t xml:space="preserve">9</w:t>
            </w:r>
          </w:p>
        </w:tc>
        <w:tc>
          <w:tcPr>
            <w:tcW w:type="dxa" w:w="8640"/>
            <w:tcBorders>
              <w:top w:val="none"/>
              <w:left w:val="none"/>
              <w:bottom w:val="none"/>
              <w:right w:val="none"/>
            </w:tcBorders>
            <w:shd w:fill="F5F5F5" w:val="clear"/>
            <w:tcMar>
              <w:top w:type="dxa" w:w="80"/>
              <w:left w:type="dxa" w:w="100"/>
              <w:bottom w:type="dxa" w:w="80"/>
              <w:right w:type="dxa" w:w="100"/>
            </w:tcMar>
            <w:vAlign w:val="top"/>
          </w:tcPr>
          <w:p>
            <w:pPr>
              <w:spacing w:after="60" w:before="0"/>
            </w:pPr>
            <w:r>
              <w:rPr>
                <w:rFonts w:ascii="Arial" w:cs="Arial" w:eastAsia="Arial" w:hAnsi="Arial"/>
                <w:b/>
                <w:bCs/>
                <w:color w:val="1A1A1A"/>
                <w:sz w:val="22"/>
                <w:szCs w:val="22"/>
              </w:rPr>
              <w:t xml:space="preserve">Do your devices emit UV radiation?</w:t>
            </w:r>
          </w:p>
          <w:p>
            <w:pPr>
              <w:spacing w:after="80" w:before="0"/>
            </w:pPr>
            <w:r>
              <w:rPr>
                <w:rFonts w:ascii="Arial" w:cs="Arial" w:eastAsia="Arial" w:hAnsi="Arial"/>
                <w:color w:val="333333"/>
                <w:sz w:val="20"/>
                <w:szCs w:val="20"/>
              </w:rPr>
              <w:t xml:space="preserve">Standard LUFALIGHT devices emit zero UV radiation. The BK300 is the only model with controlled UVB output (295 nm + 311 nm) specifically for therapeutic use — this is a certified, medical-grade feature, not incidental radiation.</w:t>
            </w:r>
          </w:p>
        </w:tc>
      </w:tr>
      <w:tr>
        <w:tc>
          <w:tcPr>
            <w:tcW w:type="dxa" w:w="720"/>
            <w:tcBorders>
              <w:top w:val="none"/>
              <w:left w:val="none"/>
              <w:bottom w:val="none"/>
              <w:right w:val="none"/>
            </w:tcBorders>
            <w:shd w:fill="FFFFFF" w:val="clear"/>
            <w:tcMar>
              <w:top w:type="dxa" w:w="80"/>
              <w:left w:type="dxa" w:w="100"/>
              <w:bottom w:type="dxa" w:w="0"/>
              <w:right w:type="dxa" w:w="60"/>
            </w:tcMar>
            <w:vAlign w:val="top"/>
          </w:tcPr>
          <w:p>
            <w:pPr>
              <w:jc w:val="center"/>
            </w:pPr>
            <w:r>
              <w:rPr>
                <w:rFonts w:ascii="Arial" w:cs="Arial" w:eastAsia="Arial" w:hAnsi="Arial"/>
                <w:b/>
                <w:bCs/>
                <w:color w:val="CC0000"/>
                <w:sz w:val="20"/>
                <w:szCs w:val="20"/>
              </w:rPr>
              <w:t xml:space="preserve">10</w:t>
            </w:r>
          </w:p>
        </w:tc>
        <w:tc>
          <w:tcPr>
            <w:tcW w:type="dxa" w:w="8640"/>
            <w:tcBorders>
              <w:top w:val="none"/>
              <w:left w:val="none"/>
              <w:bottom w:val="none"/>
              <w:right w:val="none"/>
            </w:tcBorders>
            <w:shd w:fill="FFFFFF" w:val="clear"/>
            <w:tcMar>
              <w:top w:type="dxa" w:w="80"/>
              <w:left w:type="dxa" w:w="100"/>
              <w:bottom w:type="dxa" w:w="80"/>
              <w:right w:type="dxa" w:w="100"/>
            </w:tcMar>
            <w:vAlign w:val="top"/>
          </w:tcPr>
          <w:p>
            <w:pPr>
              <w:spacing w:after="60" w:before="0"/>
            </w:pPr>
            <w:r>
              <w:rPr>
                <w:rFonts w:ascii="Arial" w:cs="Arial" w:eastAsia="Arial" w:hAnsi="Arial"/>
                <w:b/>
                <w:bCs/>
                <w:color w:val="1A1A1A"/>
                <w:sz w:val="22"/>
                <w:szCs w:val="22"/>
              </w:rPr>
              <w:t xml:space="preserve">What is irradiance and why does it matter?</w:t>
            </w:r>
          </w:p>
          <w:p>
            <w:pPr>
              <w:spacing w:after="80" w:before="0"/>
            </w:pPr>
            <w:r>
              <w:rPr>
                <w:rFonts w:ascii="Arial" w:cs="Arial" w:eastAsia="Arial" w:hAnsi="Arial"/>
                <w:color w:val="333333"/>
                <w:sz w:val="20"/>
                <w:szCs w:val="20"/>
              </w:rPr>
              <w:t xml:space="preserve">Irradiance (measured in mW/cm²) is the power of light reaching your skin per unit area. Higher irradiance means shorter session times for the same therapeutic dose. Our BK300 publishes 150 mW/cm² — among the highest in its class. Always look for published irradiance figures, not just wattage claims.</w:t>
            </w:r>
          </w:p>
        </w:tc>
      </w:tr>
    </w:tbl>
    <w:p>
      <w:pPr>
        <w:spacing w:after="0" w:before="240"/>
      </w:pPr>
    </w:p>
    <w:p>
      <w:pPr>
        <w:pBdr>
          <w:bottom w:val="single" w:color="1A1A1A" w:sz="8" w:space="1"/>
        </w:pBdr>
        <w:spacing w:after="160" w:before="400"/>
      </w:pPr>
      <w:r>
        <w:rPr>
          <w:rFonts w:ascii="Arial" w:cs="Arial" w:eastAsia="Arial" w:hAnsi="Arial"/>
          <w:b/>
          <w:bCs/>
          <w:caps/>
          <w:color w:val="1A1A1A"/>
          <w:sz w:val="26"/>
          <w:szCs w:val="26"/>
        </w:rPr>
        <w:t xml:space="preserve">ORDERING &amp; PAYMENT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left w:val="none"/>
              <w:bottom w:val="none"/>
              <w:right w:val="none"/>
            </w:tcBorders>
            <w:shd w:fill="F5F5F5" w:val="clear"/>
            <w:tcMar>
              <w:top w:type="dxa" w:w="80"/>
              <w:left w:type="dxa" w:w="100"/>
              <w:bottom w:type="dxa" w:w="0"/>
              <w:right w:type="dxa" w:w="60"/>
            </w:tcMar>
            <w:vAlign w:val="top"/>
          </w:tcPr>
          <w:p>
            <w:pPr>
              <w:jc w:val="center"/>
            </w:pPr>
            <w:r>
              <w:rPr>
                <w:rFonts w:ascii="Arial" w:cs="Arial" w:eastAsia="Arial" w:hAnsi="Arial"/>
                <w:b/>
                <w:bCs/>
                <w:color w:val="CC0000"/>
                <w:sz w:val="20"/>
                <w:szCs w:val="20"/>
              </w:rPr>
              <w:t xml:space="preserve">11</w:t>
            </w:r>
          </w:p>
        </w:tc>
        <w:tc>
          <w:tcPr>
            <w:tcW w:type="dxa" w:w="8640"/>
            <w:tcBorders>
              <w:top w:val="none"/>
              <w:left w:val="none"/>
              <w:bottom w:val="none"/>
              <w:right w:val="none"/>
            </w:tcBorders>
            <w:shd w:fill="F5F5F5" w:val="clear"/>
            <w:tcMar>
              <w:top w:type="dxa" w:w="80"/>
              <w:left w:type="dxa" w:w="100"/>
              <w:bottom w:type="dxa" w:w="80"/>
              <w:right w:type="dxa" w:w="100"/>
            </w:tcMar>
            <w:vAlign w:val="top"/>
          </w:tcPr>
          <w:p>
            <w:pPr>
              <w:spacing w:after="60" w:before="0"/>
            </w:pPr>
            <w:r>
              <w:rPr>
                <w:rFonts w:ascii="Arial" w:cs="Arial" w:eastAsia="Arial" w:hAnsi="Arial"/>
                <w:b/>
                <w:bCs/>
                <w:color w:val="1A1A1A"/>
                <w:sz w:val="22"/>
                <w:szCs w:val="22"/>
              </w:rPr>
              <w:t xml:space="preserve">How do I place an order?</w:t>
            </w:r>
          </w:p>
          <w:p>
            <w:pPr>
              <w:spacing w:after="80" w:before="0"/>
            </w:pPr>
            <w:r>
              <w:rPr>
                <w:rFonts w:ascii="Arial" w:cs="Arial" w:eastAsia="Arial" w:hAnsi="Arial"/>
                <w:color w:val="333333"/>
                <w:sz w:val="20"/>
                <w:szCs w:val="20"/>
              </w:rPr>
              <w:t xml:space="preserve">Visit lufalight.com, browse our product catalog, add items to your cart, and proceed to checkout. We accept all major credit cards, debit cards, and PayPal. Your order is confirmed immediately by email.</w:t>
            </w:r>
          </w:p>
        </w:tc>
      </w:tr>
      <w:tr>
        <w:tc>
          <w:tcPr>
            <w:tcW w:type="dxa" w:w="720"/>
            <w:tcBorders>
              <w:top w:val="none"/>
              <w:left w:val="none"/>
              <w:bottom w:val="none"/>
              <w:right w:val="none"/>
            </w:tcBorders>
            <w:shd w:fill="FFFFFF" w:val="clear"/>
            <w:tcMar>
              <w:top w:type="dxa" w:w="80"/>
              <w:left w:type="dxa" w:w="100"/>
              <w:bottom w:type="dxa" w:w="0"/>
              <w:right w:type="dxa" w:w="60"/>
            </w:tcMar>
            <w:vAlign w:val="top"/>
          </w:tcPr>
          <w:p>
            <w:pPr>
              <w:jc w:val="center"/>
            </w:pPr>
            <w:r>
              <w:rPr>
                <w:rFonts w:ascii="Arial" w:cs="Arial" w:eastAsia="Arial" w:hAnsi="Arial"/>
                <w:b/>
                <w:bCs/>
                <w:color w:val="CC0000"/>
                <w:sz w:val="20"/>
                <w:szCs w:val="20"/>
              </w:rPr>
              <w:t xml:space="preserve">12</w:t>
            </w:r>
          </w:p>
        </w:tc>
        <w:tc>
          <w:tcPr>
            <w:tcW w:type="dxa" w:w="8640"/>
            <w:tcBorders>
              <w:top w:val="none"/>
              <w:left w:val="none"/>
              <w:bottom w:val="none"/>
              <w:right w:val="none"/>
            </w:tcBorders>
            <w:shd w:fill="FFFFFF" w:val="clear"/>
            <w:tcMar>
              <w:top w:type="dxa" w:w="80"/>
              <w:left w:type="dxa" w:w="100"/>
              <w:bottom w:type="dxa" w:w="80"/>
              <w:right w:type="dxa" w:w="100"/>
            </w:tcMar>
            <w:vAlign w:val="top"/>
          </w:tcPr>
          <w:p>
            <w:pPr>
              <w:spacing w:after="60" w:before="0"/>
            </w:pPr>
            <w:r>
              <w:rPr>
                <w:rFonts w:ascii="Arial" w:cs="Arial" w:eastAsia="Arial" w:hAnsi="Arial"/>
                <w:b/>
                <w:bCs/>
                <w:color w:val="1A1A1A"/>
                <w:sz w:val="22"/>
                <w:szCs w:val="22"/>
              </w:rPr>
              <w:t xml:space="preserve">What currency are your prices in?</w:t>
            </w:r>
          </w:p>
          <w:p>
            <w:pPr>
              <w:spacing w:after="80" w:before="0"/>
            </w:pPr>
            <w:r>
              <w:rPr>
                <w:rFonts w:ascii="Arial" w:cs="Arial" w:eastAsia="Arial" w:hAnsi="Arial"/>
                <w:color w:val="333333"/>
                <w:sz w:val="20"/>
                <w:szCs w:val="20"/>
              </w:rPr>
              <w:t xml:space="preserve">All prices on lufalight.com are listed in Canadian Dollars (CA$). At checkout, international customers will see the equivalent in their local currency based on live exchange rates.</w:t>
            </w:r>
          </w:p>
        </w:tc>
      </w:tr>
      <w:tr>
        <w:tc>
          <w:tcPr>
            <w:tcW w:type="dxa" w:w="720"/>
            <w:tcBorders>
              <w:top w:val="none"/>
              <w:left w:val="none"/>
              <w:bottom w:val="none"/>
              <w:right w:val="none"/>
            </w:tcBorders>
            <w:shd w:fill="F5F5F5" w:val="clear"/>
            <w:tcMar>
              <w:top w:type="dxa" w:w="80"/>
              <w:left w:type="dxa" w:w="100"/>
              <w:bottom w:type="dxa" w:w="0"/>
              <w:right w:type="dxa" w:w="60"/>
            </w:tcMar>
            <w:vAlign w:val="top"/>
          </w:tcPr>
          <w:p>
            <w:pPr>
              <w:jc w:val="center"/>
            </w:pPr>
            <w:r>
              <w:rPr>
                <w:rFonts w:ascii="Arial" w:cs="Arial" w:eastAsia="Arial" w:hAnsi="Arial"/>
                <w:b/>
                <w:bCs/>
                <w:color w:val="CC0000"/>
                <w:sz w:val="20"/>
                <w:szCs w:val="20"/>
              </w:rPr>
              <w:t xml:space="preserve">13</w:t>
            </w:r>
          </w:p>
        </w:tc>
        <w:tc>
          <w:tcPr>
            <w:tcW w:type="dxa" w:w="8640"/>
            <w:tcBorders>
              <w:top w:val="none"/>
              <w:left w:val="none"/>
              <w:bottom w:val="none"/>
              <w:right w:val="none"/>
            </w:tcBorders>
            <w:shd w:fill="F5F5F5" w:val="clear"/>
            <w:tcMar>
              <w:top w:type="dxa" w:w="80"/>
              <w:left w:type="dxa" w:w="100"/>
              <w:bottom w:type="dxa" w:w="80"/>
              <w:right w:type="dxa" w:w="100"/>
            </w:tcMar>
            <w:vAlign w:val="top"/>
          </w:tcPr>
          <w:p>
            <w:pPr>
              <w:spacing w:after="60" w:before="0"/>
            </w:pPr>
            <w:r>
              <w:rPr>
                <w:rFonts w:ascii="Arial" w:cs="Arial" w:eastAsia="Arial" w:hAnsi="Arial"/>
                <w:b/>
                <w:bCs/>
                <w:color w:val="1A1A1A"/>
                <w:sz w:val="22"/>
                <w:szCs w:val="22"/>
              </w:rPr>
              <w:t xml:space="preserve">Do you ship to the United States?</w:t>
            </w:r>
          </w:p>
          <w:p>
            <w:pPr>
              <w:spacing w:after="80" w:before="0"/>
            </w:pPr>
            <w:r>
              <w:rPr>
                <w:rFonts w:ascii="Arial" w:cs="Arial" w:eastAsia="Arial" w:hAnsi="Arial"/>
                <w:color w:val="333333"/>
                <w:sz w:val="20"/>
                <w:szCs w:val="20"/>
              </w:rPr>
              <w:t xml:space="preserve">Yes! We ship to all Canadian provinces and territories, as well as all 50 US states. Free shipping is available on qualifying orders — see our shipping page for current thresholds.</w:t>
            </w:r>
          </w:p>
        </w:tc>
      </w:tr>
      <w:tr>
        <w:tc>
          <w:tcPr>
            <w:tcW w:type="dxa" w:w="720"/>
            <w:tcBorders>
              <w:top w:val="none"/>
              <w:left w:val="none"/>
              <w:bottom w:val="none"/>
              <w:right w:val="none"/>
            </w:tcBorders>
            <w:shd w:fill="FFFFFF" w:val="clear"/>
            <w:tcMar>
              <w:top w:type="dxa" w:w="80"/>
              <w:left w:type="dxa" w:w="100"/>
              <w:bottom w:type="dxa" w:w="0"/>
              <w:right w:type="dxa" w:w="60"/>
            </w:tcMar>
            <w:vAlign w:val="top"/>
          </w:tcPr>
          <w:p>
            <w:pPr>
              <w:jc w:val="center"/>
            </w:pPr>
            <w:r>
              <w:rPr>
                <w:rFonts w:ascii="Arial" w:cs="Arial" w:eastAsia="Arial" w:hAnsi="Arial"/>
                <w:b/>
                <w:bCs/>
                <w:color w:val="CC0000"/>
                <w:sz w:val="20"/>
                <w:szCs w:val="20"/>
              </w:rPr>
              <w:t xml:space="preserve">14</w:t>
            </w:r>
          </w:p>
        </w:tc>
        <w:tc>
          <w:tcPr>
            <w:tcW w:type="dxa" w:w="8640"/>
            <w:tcBorders>
              <w:top w:val="none"/>
              <w:left w:val="none"/>
              <w:bottom w:val="none"/>
              <w:right w:val="none"/>
            </w:tcBorders>
            <w:shd w:fill="FFFFFF" w:val="clear"/>
            <w:tcMar>
              <w:top w:type="dxa" w:w="80"/>
              <w:left w:type="dxa" w:w="100"/>
              <w:bottom w:type="dxa" w:w="80"/>
              <w:right w:type="dxa" w:w="100"/>
            </w:tcMar>
            <w:vAlign w:val="top"/>
          </w:tcPr>
          <w:p>
            <w:pPr>
              <w:spacing w:after="60" w:before="0"/>
            </w:pPr>
            <w:r>
              <w:rPr>
                <w:rFonts w:ascii="Arial" w:cs="Arial" w:eastAsia="Arial" w:hAnsi="Arial"/>
                <w:b/>
                <w:bCs/>
                <w:color w:val="1A1A1A"/>
                <w:sz w:val="22"/>
                <w:szCs w:val="22"/>
              </w:rPr>
              <w:t xml:space="preserve">How long does shipping take?</w:t>
            </w:r>
          </w:p>
          <w:p>
            <w:pPr>
              <w:spacing w:after="80" w:before="0"/>
            </w:pPr>
            <w:r>
              <w:rPr>
                <w:rFonts w:ascii="Arial" w:cs="Arial" w:eastAsia="Arial" w:hAnsi="Arial"/>
                <w:color w:val="333333"/>
                <w:sz w:val="20"/>
                <w:szCs w:val="20"/>
              </w:rPr>
              <w:t xml:space="preserve">Canadian orders typically arrive in 3–7 business days. US orders typically arrive in 5–10 business days. Expedited shipping options are available at checkout. You will receive a tracking number once your order ships.</w:t>
            </w:r>
          </w:p>
        </w:tc>
      </w:tr>
      <w:tr>
        <w:tc>
          <w:tcPr>
            <w:tcW w:type="dxa" w:w="720"/>
            <w:tcBorders>
              <w:top w:val="none"/>
              <w:left w:val="none"/>
              <w:bottom w:val="none"/>
              <w:right w:val="none"/>
            </w:tcBorders>
            <w:shd w:fill="F5F5F5" w:val="clear"/>
            <w:tcMar>
              <w:top w:type="dxa" w:w="80"/>
              <w:left w:type="dxa" w:w="100"/>
              <w:bottom w:type="dxa" w:w="0"/>
              <w:right w:type="dxa" w:w="60"/>
            </w:tcMar>
            <w:vAlign w:val="top"/>
          </w:tcPr>
          <w:p>
            <w:pPr>
              <w:jc w:val="center"/>
            </w:pPr>
            <w:r>
              <w:rPr>
                <w:rFonts w:ascii="Arial" w:cs="Arial" w:eastAsia="Arial" w:hAnsi="Arial"/>
                <w:b/>
                <w:bCs/>
                <w:color w:val="CC0000"/>
                <w:sz w:val="20"/>
                <w:szCs w:val="20"/>
              </w:rPr>
              <w:t xml:space="preserve">15</w:t>
            </w:r>
          </w:p>
        </w:tc>
        <w:tc>
          <w:tcPr>
            <w:tcW w:type="dxa" w:w="8640"/>
            <w:tcBorders>
              <w:top w:val="none"/>
              <w:left w:val="none"/>
              <w:bottom w:val="none"/>
              <w:right w:val="none"/>
            </w:tcBorders>
            <w:shd w:fill="F5F5F5" w:val="clear"/>
            <w:tcMar>
              <w:top w:type="dxa" w:w="80"/>
              <w:left w:type="dxa" w:w="100"/>
              <w:bottom w:type="dxa" w:w="80"/>
              <w:right w:type="dxa" w:w="100"/>
            </w:tcMar>
            <w:vAlign w:val="top"/>
          </w:tcPr>
          <w:p>
            <w:pPr>
              <w:spacing w:after="60" w:before="0"/>
            </w:pPr>
            <w:r>
              <w:rPr>
                <w:rFonts w:ascii="Arial" w:cs="Arial" w:eastAsia="Arial" w:hAnsi="Arial"/>
                <w:b/>
                <w:bCs/>
                <w:color w:val="1A1A1A"/>
                <w:sz w:val="22"/>
                <w:szCs w:val="22"/>
              </w:rPr>
              <w:t xml:space="preserve">Is there free shipping available?</w:t>
            </w:r>
          </w:p>
          <w:p>
            <w:pPr>
              <w:spacing w:after="80" w:before="0"/>
            </w:pPr>
            <w:r>
              <w:rPr>
                <w:rFonts w:ascii="Arial" w:cs="Arial" w:eastAsia="Arial" w:hAnsi="Arial"/>
                <w:color w:val="333333"/>
                <w:sz w:val="20"/>
                <w:szCs w:val="20"/>
              </w:rPr>
              <w:t xml:space="preserve">Yes. Free standard shipping is available on orders over CA$200 (Canada) and qualifying US orders. Check the current promotion on our website for exact thresholds.</w:t>
            </w:r>
          </w:p>
        </w:tc>
      </w:tr>
      <w:tr>
        <w:tc>
          <w:tcPr>
            <w:tcW w:type="dxa" w:w="720"/>
            <w:tcBorders>
              <w:top w:val="none"/>
              <w:left w:val="none"/>
              <w:bottom w:val="none"/>
              <w:right w:val="none"/>
            </w:tcBorders>
            <w:shd w:fill="FFFFFF" w:val="clear"/>
            <w:tcMar>
              <w:top w:type="dxa" w:w="80"/>
              <w:left w:type="dxa" w:w="100"/>
              <w:bottom w:type="dxa" w:w="0"/>
              <w:right w:type="dxa" w:w="60"/>
            </w:tcMar>
            <w:vAlign w:val="top"/>
          </w:tcPr>
          <w:p>
            <w:pPr>
              <w:jc w:val="center"/>
            </w:pPr>
            <w:r>
              <w:rPr>
                <w:rFonts w:ascii="Arial" w:cs="Arial" w:eastAsia="Arial" w:hAnsi="Arial"/>
                <w:b/>
                <w:bCs/>
                <w:color w:val="CC0000"/>
                <w:sz w:val="20"/>
                <w:szCs w:val="20"/>
              </w:rPr>
              <w:t xml:space="preserve">16</w:t>
            </w:r>
          </w:p>
        </w:tc>
        <w:tc>
          <w:tcPr>
            <w:tcW w:type="dxa" w:w="8640"/>
            <w:tcBorders>
              <w:top w:val="none"/>
              <w:left w:val="none"/>
              <w:bottom w:val="none"/>
              <w:right w:val="none"/>
            </w:tcBorders>
            <w:shd w:fill="FFFFFF" w:val="clear"/>
            <w:tcMar>
              <w:top w:type="dxa" w:w="80"/>
              <w:left w:type="dxa" w:w="100"/>
              <w:bottom w:type="dxa" w:w="80"/>
              <w:right w:type="dxa" w:w="100"/>
            </w:tcMar>
            <w:vAlign w:val="top"/>
          </w:tcPr>
          <w:p>
            <w:pPr>
              <w:spacing w:after="60" w:before="0"/>
            </w:pPr>
            <w:r>
              <w:rPr>
                <w:rFonts w:ascii="Arial" w:cs="Arial" w:eastAsia="Arial" w:hAnsi="Arial"/>
                <w:b/>
                <w:bCs/>
                <w:color w:val="1A1A1A"/>
                <w:sz w:val="22"/>
                <w:szCs w:val="22"/>
              </w:rPr>
              <w:t xml:space="preserve">Can I modify or cancel my order after placing it?</w:t>
            </w:r>
          </w:p>
          <w:p>
            <w:pPr>
              <w:spacing w:after="80" w:before="0"/>
            </w:pPr>
            <w:r>
              <w:rPr>
                <w:rFonts w:ascii="Arial" w:cs="Arial" w:eastAsia="Arial" w:hAnsi="Arial"/>
                <w:color w:val="333333"/>
                <w:sz w:val="20"/>
                <w:szCs w:val="20"/>
              </w:rPr>
              <w:t xml:space="preserve">Orders can be modified or cancelled within 24 hours of placement by contacting our support team at support@lufalight.com. After 24 hours, the order may already be in fulfillment and cancellation is not guaranteed.</w:t>
            </w:r>
          </w:p>
        </w:tc>
      </w:tr>
      <w:tr>
        <w:tc>
          <w:tcPr>
            <w:tcW w:type="dxa" w:w="720"/>
            <w:tcBorders>
              <w:top w:val="none"/>
              <w:left w:val="none"/>
              <w:bottom w:val="none"/>
              <w:right w:val="none"/>
            </w:tcBorders>
            <w:shd w:fill="F5F5F5" w:val="clear"/>
            <w:tcMar>
              <w:top w:type="dxa" w:w="80"/>
              <w:left w:type="dxa" w:w="100"/>
              <w:bottom w:type="dxa" w:w="0"/>
              <w:right w:type="dxa" w:w="60"/>
            </w:tcMar>
            <w:vAlign w:val="top"/>
          </w:tcPr>
          <w:p>
            <w:pPr>
              <w:jc w:val="center"/>
            </w:pPr>
            <w:r>
              <w:rPr>
                <w:rFonts w:ascii="Arial" w:cs="Arial" w:eastAsia="Arial" w:hAnsi="Arial"/>
                <w:b/>
                <w:bCs/>
                <w:color w:val="CC0000"/>
                <w:sz w:val="20"/>
                <w:szCs w:val="20"/>
              </w:rPr>
              <w:t xml:space="preserve">17</w:t>
            </w:r>
          </w:p>
        </w:tc>
        <w:tc>
          <w:tcPr>
            <w:tcW w:type="dxa" w:w="8640"/>
            <w:tcBorders>
              <w:top w:val="none"/>
              <w:left w:val="none"/>
              <w:bottom w:val="none"/>
              <w:right w:val="none"/>
            </w:tcBorders>
            <w:shd w:fill="F5F5F5" w:val="clear"/>
            <w:tcMar>
              <w:top w:type="dxa" w:w="80"/>
              <w:left w:type="dxa" w:w="100"/>
              <w:bottom w:type="dxa" w:w="80"/>
              <w:right w:type="dxa" w:w="100"/>
            </w:tcMar>
            <w:vAlign w:val="top"/>
          </w:tcPr>
          <w:p>
            <w:pPr>
              <w:spacing w:after="60" w:before="0"/>
            </w:pPr>
            <w:r>
              <w:rPr>
                <w:rFonts w:ascii="Arial" w:cs="Arial" w:eastAsia="Arial" w:hAnsi="Arial"/>
                <w:b/>
                <w:bCs/>
                <w:color w:val="1A1A1A"/>
                <w:sz w:val="22"/>
                <w:szCs w:val="22"/>
              </w:rPr>
              <w:t xml:space="preserve">Is my payment information secure?</w:t>
            </w:r>
          </w:p>
          <w:p>
            <w:pPr>
              <w:spacing w:after="80" w:before="0"/>
            </w:pPr>
            <w:r>
              <w:rPr>
                <w:rFonts w:ascii="Arial" w:cs="Arial" w:eastAsia="Arial" w:hAnsi="Arial"/>
                <w:color w:val="333333"/>
                <w:sz w:val="20"/>
                <w:szCs w:val="20"/>
              </w:rPr>
              <w:t xml:space="preserve">Yes. All transactions are processed through PCI-DSS compliant payment gateways with SSL encryption. LUFALIGHT never stores your full card details on our servers.</w:t>
            </w:r>
          </w:p>
        </w:tc>
      </w:tr>
      <w:tr>
        <w:tc>
          <w:tcPr>
            <w:tcW w:type="dxa" w:w="720"/>
            <w:tcBorders>
              <w:top w:val="none"/>
              <w:left w:val="none"/>
              <w:bottom w:val="none"/>
              <w:right w:val="none"/>
            </w:tcBorders>
            <w:shd w:fill="FFFFFF" w:val="clear"/>
            <w:tcMar>
              <w:top w:type="dxa" w:w="80"/>
              <w:left w:type="dxa" w:w="100"/>
              <w:bottom w:type="dxa" w:w="0"/>
              <w:right w:type="dxa" w:w="60"/>
            </w:tcMar>
            <w:vAlign w:val="top"/>
          </w:tcPr>
          <w:p>
            <w:pPr>
              <w:jc w:val="center"/>
            </w:pPr>
            <w:r>
              <w:rPr>
                <w:rFonts w:ascii="Arial" w:cs="Arial" w:eastAsia="Arial" w:hAnsi="Arial"/>
                <w:b/>
                <w:bCs/>
                <w:color w:val="CC0000"/>
                <w:sz w:val="20"/>
                <w:szCs w:val="20"/>
              </w:rPr>
              <w:t xml:space="preserve">18</w:t>
            </w:r>
          </w:p>
        </w:tc>
        <w:tc>
          <w:tcPr>
            <w:tcW w:type="dxa" w:w="8640"/>
            <w:tcBorders>
              <w:top w:val="none"/>
              <w:left w:val="none"/>
              <w:bottom w:val="none"/>
              <w:right w:val="none"/>
            </w:tcBorders>
            <w:shd w:fill="FFFFFF" w:val="clear"/>
            <w:tcMar>
              <w:top w:type="dxa" w:w="80"/>
              <w:left w:type="dxa" w:w="100"/>
              <w:bottom w:type="dxa" w:w="80"/>
              <w:right w:type="dxa" w:w="100"/>
            </w:tcMar>
            <w:vAlign w:val="top"/>
          </w:tcPr>
          <w:p>
            <w:pPr>
              <w:spacing w:after="60" w:before="0"/>
            </w:pPr>
            <w:r>
              <w:rPr>
                <w:rFonts w:ascii="Arial" w:cs="Arial" w:eastAsia="Arial" w:hAnsi="Arial"/>
                <w:b/>
                <w:bCs/>
                <w:color w:val="1A1A1A"/>
                <w:sz w:val="22"/>
                <w:szCs w:val="22"/>
              </w:rPr>
              <w:t xml:space="preserve">Do you offer financing or buy-now-pay-later options?</w:t>
            </w:r>
          </w:p>
          <w:p>
            <w:pPr>
              <w:spacing w:after="80" w:before="0"/>
            </w:pPr>
            <w:r>
              <w:rPr>
                <w:rFonts w:ascii="Arial" w:cs="Arial" w:eastAsia="Arial" w:hAnsi="Arial"/>
                <w:color w:val="333333"/>
                <w:sz w:val="20"/>
                <w:szCs w:val="20"/>
              </w:rPr>
              <w:t xml:space="preserve">We are working on integrating financing options (e.g., Afterpay/Affirm). Please check our website or contact support for the latest availability.</w:t>
            </w:r>
          </w:p>
        </w:tc>
      </w:tr>
      <w:tr>
        <w:tc>
          <w:tcPr>
            <w:tcW w:type="dxa" w:w="720"/>
            <w:tcBorders>
              <w:top w:val="none"/>
              <w:left w:val="none"/>
              <w:bottom w:val="none"/>
              <w:right w:val="none"/>
            </w:tcBorders>
            <w:shd w:fill="F5F5F5" w:val="clear"/>
            <w:tcMar>
              <w:top w:type="dxa" w:w="80"/>
              <w:left w:type="dxa" w:w="100"/>
              <w:bottom w:type="dxa" w:w="0"/>
              <w:right w:type="dxa" w:w="60"/>
            </w:tcMar>
            <w:vAlign w:val="top"/>
          </w:tcPr>
          <w:p>
            <w:pPr>
              <w:jc w:val="center"/>
            </w:pPr>
            <w:r>
              <w:rPr>
                <w:rFonts w:ascii="Arial" w:cs="Arial" w:eastAsia="Arial" w:hAnsi="Arial"/>
                <w:b/>
                <w:bCs/>
                <w:color w:val="CC0000"/>
                <w:sz w:val="20"/>
                <w:szCs w:val="20"/>
              </w:rPr>
              <w:t xml:space="preserve">19</w:t>
            </w:r>
          </w:p>
        </w:tc>
        <w:tc>
          <w:tcPr>
            <w:tcW w:type="dxa" w:w="8640"/>
            <w:tcBorders>
              <w:top w:val="none"/>
              <w:left w:val="none"/>
              <w:bottom w:val="none"/>
              <w:right w:val="none"/>
            </w:tcBorders>
            <w:shd w:fill="F5F5F5" w:val="clear"/>
            <w:tcMar>
              <w:top w:type="dxa" w:w="80"/>
              <w:left w:type="dxa" w:w="100"/>
              <w:bottom w:type="dxa" w:w="80"/>
              <w:right w:type="dxa" w:w="100"/>
            </w:tcMar>
            <w:vAlign w:val="top"/>
          </w:tcPr>
          <w:p>
            <w:pPr>
              <w:spacing w:after="60" w:before="0"/>
            </w:pPr>
            <w:r>
              <w:rPr>
                <w:rFonts w:ascii="Arial" w:cs="Arial" w:eastAsia="Arial" w:hAnsi="Arial"/>
                <w:b/>
                <w:bCs/>
                <w:color w:val="1A1A1A"/>
                <w:sz w:val="22"/>
                <w:szCs w:val="22"/>
              </w:rPr>
              <w:t xml:space="preserve">Will I be charged customs or import duties?</w:t>
            </w:r>
          </w:p>
          <w:p>
            <w:pPr>
              <w:spacing w:after="80" w:before="0"/>
            </w:pPr>
            <w:r>
              <w:rPr>
                <w:rFonts w:ascii="Arial" w:cs="Arial" w:eastAsia="Arial" w:hAnsi="Arial"/>
                <w:color w:val="333333"/>
                <w:sz w:val="20"/>
                <w:szCs w:val="20"/>
              </w:rPr>
              <w:t xml:space="preserve">Canadian customers: no import duties. US customers: orders are generally below US de minimis thresholds, but we recommend checking USPS/CBP guidelines for large orders. Any applicable duties are the buyer's responsibility.</w:t>
            </w:r>
          </w:p>
        </w:tc>
      </w:tr>
      <w:tr>
        <w:tc>
          <w:tcPr>
            <w:tcW w:type="dxa" w:w="720"/>
            <w:tcBorders>
              <w:top w:val="none"/>
              <w:left w:val="none"/>
              <w:bottom w:val="none"/>
              <w:right w:val="none"/>
            </w:tcBorders>
            <w:shd w:fill="FFFFFF" w:val="clear"/>
            <w:tcMar>
              <w:top w:type="dxa" w:w="80"/>
              <w:left w:type="dxa" w:w="100"/>
              <w:bottom w:type="dxa" w:w="0"/>
              <w:right w:type="dxa" w:w="60"/>
            </w:tcMar>
            <w:vAlign w:val="top"/>
          </w:tcPr>
          <w:p>
            <w:pPr>
              <w:jc w:val="center"/>
            </w:pPr>
            <w:r>
              <w:rPr>
                <w:rFonts w:ascii="Arial" w:cs="Arial" w:eastAsia="Arial" w:hAnsi="Arial"/>
                <w:b/>
                <w:bCs/>
                <w:color w:val="CC0000"/>
                <w:sz w:val="20"/>
                <w:szCs w:val="20"/>
              </w:rPr>
              <w:t xml:space="preserve">20</w:t>
            </w:r>
          </w:p>
        </w:tc>
        <w:tc>
          <w:tcPr>
            <w:tcW w:type="dxa" w:w="8640"/>
            <w:tcBorders>
              <w:top w:val="none"/>
              <w:left w:val="none"/>
              <w:bottom w:val="none"/>
              <w:right w:val="none"/>
            </w:tcBorders>
            <w:shd w:fill="FFFFFF" w:val="clear"/>
            <w:tcMar>
              <w:top w:type="dxa" w:w="80"/>
              <w:left w:type="dxa" w:w="100"/>
              <w:bottom w:type="dxa" w:w="80"/>
              <w:right w:type="dxa" w:w="100"/>
            </w:tcMar>
            <w:vAlign w:val="top"/>
          </w:tcPr>
          <w:p>
            <w:pPr>
              <w:spacing w:after="60" w:before="0"/>
            </w:pPr>
            <w:r>
              <w:rPr>
                <w:rFonts w:ascii="Arial" w:cs="Arial" w:eastAsia="Arial" w:hAnsi="Arial"/>
                <w:b/>
                <w:bCs/>
                <w:color w:val="1A1A1A"/>
                <w:sz w:val="22"/>
                <w:szCs w:val="22"/>
              </w:rPr>
              <w:t xml:space="preserve">Do you offer bulk or wholesale pricing for clinics and spas?</w:t>
            </w:r>
          </w:p>
          <w:p>
            <w:pPr>
              <w:spacing w:after="80" w:before="0"/>
            </w:pPr>
            <w:r>
              <w:rPr>
                <w:rFonts w:ascii="Arial" w:cs="Arial" w:eastAsia="Arial" w:hAnsi="Arial"/>
                <w:color w:val="333333"/>
                <w:sz w:val="20"/>
                <w:szCs w:val="20"/>
              </w:rPr>
              <w:t xml:space="preserve">Yes. B2B pricing is available for licensed clinics, spas, physiotherapy centers, and wellness studios. Contact us at b2b@lufalight.com for a custom quote.</w:t>
            </w:r>
          </w:p>
        </w:tc>
      </w:tr>
    </w:tbl>
    <w:p>
      <w:pPr>
        <w:spacing w:after="0" w:before="240"/>
      </w:pPr>
    </w:p>
    <w:p>
      <w:pPr>
        <w:pBdr>
          <w:bottom w:val="single" w:color="CC0000" w:sz="8" w:space="1"/>
        </w:pBdr>
        <w:spacing w:after="160" w:before="400"/>
      </w:pPr>
      <w:r>
        <w:rPr>
          <w:rFonts w:ascii="Arial" w:cs="Arial" w:eastAsia="Arial" w:hAnsi="Arial"/>
          <w:b/>
          <w:bCs/>
          <w:caps/>
          <w:color w:val="CC0000"/>
          <w:sz w:val="26"/>
          <w:szCs w:val="26"/>
        </w:rPr>
        <w:t xml:space="preserve">SCIENCE &amp; TECHNOLOGY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left w:val="none"/>
              <w:bottom w:val="none"/>
              <w:right w:val="none"/>
            </w:tcBorders>
            <w:shd w:fill="F5F5F5" w:val="clear"/>
            <w:tcMar>
              <w:top w:type="dxa" w:w="80"/>
              <w:left w:type="dxa" w:w="100"/>
              <w:bottom w:type="dxa" w:w="0"/>
              <w:right w:type="dxa" w:w="60"/>
            </w:tcMar>
            <w:vAlign w:val="top"/>
          </w:tcPr>
          <w:p>
            <w:pPr>
              <w:jc w:val="center"/>
            </w:pPr>
            <w:r>
              <w:rPr>
                <w:rFonts w:ascii="Arial" w:cs="Arial" w:eastAsia="Arial" w:hAnsi="Arial"/>
                <w:b/>
                <w:bCs/>
                <w:color w:val="CC0000"/>
                <w:sz w:val="20"/>
                <w:szCs w:val="20"/>
              </w:rPr>
              <w:t xml:space="preserve">21</w:t>
            </w:r>
          </w:p>
        </w:tc>
        <w:tc>
          <w:tcPr>
            <w:tcW w:type="dxa" w:w="8640"/>
            <w:tcBorders>
              <w:top w:val="none"/>
              <w:left w:val="none"/>
              <w:bottom w:val="none"/>
              <w:right w:val="none"/>
            </w:tcBorders>
            <w:shd w:fill="F5F5F5" w:val="clear"/>
            <w:tcMar>
              <w:top w:type="dxa" w:w="80"/>
              <w:left w:type="dxa" w:w="100"/>
              <w:bottom w:type="dxa" w:w="80"/>
              <w:right w:type="dxa" w:w="100"/>
            </w:tcMar>
            <w:vAlign w:val="top"/>
          </w:tcPr>
          <w:p>
            <w:pPr>
              <w:spacing w:after="60" w:before="0"/>
            </w:pPr>
            <w:r>
              <w:rPr>
                <w:rFonts w:ascii="Arial" w:cs="Arial" w:eastAsia="Arial" w:hAnsi="Arial"/>
                <w:b/>
                <w:bCs/>
                <w:color w:val="1A1A1A"/>
                <w:sz w:val="22"/>
                <w:szCs w:val="22"/>
              </w:rPr>
              <w:t xml:space="preserve">Is red light therapy scientifically proven?</w:t>
            </w:r>
          </w:p>
          <w:p>
            <w:pPr>
              <w:spacing w:after="80" w:before="0"/>
            </w:pPr>
            <w:r>
              <w:rPr>
                <w:rFonts w:ascii="Arial" w:cs="Arial" w:eastAsia="Arial" w:hAnsi="Arial"/>
                <w:color w:val="333333"/>
                <w:sz w:val="20"/>
                <w:szCs w:val="20"/>
              </w:rPr>
              <w:t xml:space="preserve">Yes. Photobiomodulation (PBM) is supported by 30+ peer-reviewed clinical studies published in journals such as Photobiomodulation, Photomedicine, and Laser Surgery and Lasers in Surgery and Medicine. The FDA has cleared numerous PBM devices for specific indications.</w:t>
            </w:r>
          </w:p>
        </w:tc>
      </w:tr>
      <w:tr>
        <w:tc>
          <w:tcPr>
            <w:tcW w:type="dxa" w:w="720"/>
            <w:tcBorders>
              <w:top w:val="none"/>
              <w:left w:val="none"/>
              <w:bottom w:val="none"/>
              <w:right w:val="none"/>
            </w:tcBorders>
            <w:shd w:fill="FFFFFF" w:val="clear"/>
            <w:tcMar>
              <w:top w:type="dxa" w:w="80"/>
              <w:left w:type="dxa" w:w="100"/>
              <w:bottom w:type="dxa" w:w="0"/>
              <w:right w:type="dxa" w:w="60"/>
            </w:tcMar>
            <w:vAlign w:val="top"/>
          </w:tcPr>
          <w:p>
            <w:pPr>
              <w:jc w:val="center"/>
            </w:pPr>
            <w:r>
              <w:rPr>
                <w:rFonts w:ascii="Arial" w:cs="Arial" w:eastAsia="Arial" w:hAnsi="Arial"/>
                <w:b/>
                <w:bCs/>
                <w:color w:val="CC0000"/>
                <w:sz w:val="20"/>
                <w:szCs w:val="20"/>
              </w:rPr>
              <w:t xml:space="preserve">22</w:t>
            </w:r>
          </w:p>
        </w:tc>
        <w:tc>
          <w:tcPr>
            <w:tcW w:type="dxa" w:w="8640"/>
            <w:tcBorders>
              <w:top w:val="none"/>
              <w:left w:val="none"/>
              <w:bottom w:val="none"/>
              <w:right w:val="none"/>
            </w:tcBorders>
            <w:shd w:fill="FFFFFF" w:val="clear"/>
            <w:tcMar>
              <w:top w:type="dxa" w:w="80"/>
              <w:left w:type="dxa" w:w="100"/>
              <w:bottom w:type="dxa" w:w="80"/>
              <w:right w:type="dxa" w:w="100"/>
            </w:tcMar>
            <w:vAlign w:val="top"/>
          </w:tcPr>
          <w:p>
            <w:pPr>
              <w:spacing w:after="60" w:before="0"/>
            </w:pPr>
            <w:r>
              <w:rPr>
                <w:rFonts w:ascii="Arial" w:cs="Arial" w:eastAsia="Arial" w:hAnsi="Arial"/>
                <w:b/>
                <w:bCs/>
                <w:color w:val="1A1A1A"/>
                <w:sz w:val="22"/>
                <w:szCs w:val="22"/>
              </w:rPr>
              <w:t xml:space="preserve">What conditions or goals can red light therapy help with?</w:t>
            </w:r>
          </w:p>
          <w:p>
            <w:pPr>
              <w:spacing w:after="80" w:before="0"/>
            </w:pPr>
            <w:r>
              <w:rPr>
                <w:rFonts w:ascii="Arial" w:cs="Arial" w:eastAsia="Arial" w:hAnsi="Arial"/>
                <w:color w:val="333333"/>
                <w:sz w:val="20"/>
                <w:szCs w:val="20"/>
              </w:rPr>
              <w:t xml:space="preserve">Clinically studied applications include: skin rejuvenation and anti-aging, acne reduction, wound healing, muscle recovery and performance, joint pain and arthritis, hair loss stimulation, sleep improvement, mental clarity/focus, and reduced inflammation.</w:t>
            </w:r>
          </w:p>
        </w:tc>
      </w:tr>
      <w:tr>
        <w:tc>
          <w:tcPr>
            <w:tcW w:type="dxa" w:w="720"/>
            <w:tcBorders>
              <w:top w:val="none"/>
              <w:left w:val="none"/>
              <w:bottom w:val="none"/>
              <w:right w:val="none"/>
            </w:tcBorders>
            <w:shd w:fill="F5F5F5" w:val="clear"/>
            <w:tcMar>
              <w:top w:type="dxa" w:w="80"/>
              <w:left w:type="dxa" w:w="100"/>
              <w:bottom w:type="dxa" w:w="0"/>
              <w:right w:type="dxa" w:w="60"/>
            </w:tcMar>
            <w:vAlign w:val="top"/>
          </w:tcPr>
          <w:p>
            <w:pPr>
              <w:jc w:val="center"/>
            </w:pPr>
            <w:r>
              <w:rPr>
                <w:rFonts w:ascii="Arial" w:cs="Arial" w:eastAsia="Arial" w:hAnsi="Arial"/>
                <w:b/>
                <w:bCs/>
                <w:color w:val="CC0000"/>
                <w:sz w:val="20"/>
                <w:szCs w:val="20"/>
              </w:rPr>
              <w:t xml:space="preserve">23</w:t>
            </w:r>
          </w:p>
        </w:tc>
        <w:tc>
          <w:tcPr>
            <w:tcW w:type="dxa" w:w="8640"/>
            <w:tcBorders>
              <w:top w:val="none"/>
              <w:left w:val="none"/>
              <w:bottom w:val="none"/>
              <w:right w:val="none"/>
            </w:tcBorders>
            <w:shd w:fill="F5F5F5" w:val="clear"/>
            <w:tcMar>
              <w:top w:type="dxa" w:w="80"/>
              <w:left w:type="dxa" w:w="100"/>
              <w:bottom w:type="dxa" w:w="80"/>
              <w:right w:type="dxa" w:w="100"/>
            </w:tcMar>
            <w:vAlign w:val="top"/>
          </w:tcPr>
          <w:p>
            <w:pPr>
              <w:spacing w:after="60" w:before="0"/>
            </w:pPr>
            <w:r>
              <w:rPr>
                <w:rFonts w:ascii="Arial" w:cs="Arial" w:eastAsia="Arial" w:hAnsi="Arial"/>
                <w:b/>
                <w:bCs/>
                <w:color w:val="1A1A1A"/>
                <w:sz w:val="22"/>
                <w:szCs w:val="22"/>
              </w:rPr>
              <w:t xml:space="preserve">What does FDA-Cleared mean for the BK300?</w:t>
            </w:r>
          </w:p>
          <w:p>
            <w:pPr>
              <w:spacing w:after="80" w:before="0"/>
            </w:pPr>
            <w:r>
              <w:rPr>
                <w:rFonts w:ascii="Arial" w:cs="Arial" w:eastAsia="Arial" w:hAnsi="Arial"/>
                <w:color w:val="333333"/>
                <w:sz w:val="20"/>
                <w:szCs w:val="20"/>
              </w:rPr>
              <w:t xml:space="preserve">FDA-Cleared (not FDA-Registered or FDA-Approved) means the BK300 has gone through the FDA's 510(k) premarket notification process and been found substantially equivalent to a legally marketed predicate device. This is a rigorous evaluation specific to the device — not just the manufacturer.</w:t>
            </w:r>
          </w:p>
        </w:tc>
      </w:tr>
      <w:tr>
        <w:tc>
          <w:tcPr>
            <w:tcW w:type="dxa" w:w="720"/>
            <w:tcBorders>
              <w:top w:val="none"/>
              <w:left w:val="none"/>
              <w:bottom w:val="none"/>
              <w:right w:val="none"/>
            </w:tcBorders>
            <w:shd w:fill="FFFFFF" w:val="clear"/>
            <w:tcMar>
              <w:top w:type="dxa" w:w="80"/>
              <w:left w:type="dxa" w:w="100"/>
              <w:bottom w:type="dxa" w:w="0"/>
              <w:right w:type="dxa" w:w="60"/>
            </w:tcMar>
            <w:vAlign w:val="top"/>
          </w:tcPr>
          <w:p>
            <w:pPr>
              <w:jc w:val="center"/>
            </w:pPr>
            <w:r>
              <w:rPr>
                <w:rFonts w:ascii="Arial" w:cs="Arial" w:eastAsia="Arial" w:hAnsi="Arial"/>
                <w:b/>
                <w:bCs/>
                <w:color w:val="CC0000"/>
                <w:sz w:val="20"/>
                <w:szCs w:val="20"/>
              </w:rPr>
              <w:t xml:space="preserve">24</w:t>
            </w:r>
          </w:p>
        </w:tc>
        <w:tc>
          <w:tcPr>
            <w:tcW w:type="dxa" w:w="8640"/>
            <w:tcBorders>
              <w:top w:val="none"/>
              <w:left w:val="none"/>
              <w:bottom w:val="none"/>
              <w:right w:val="none"/>
            </w:tcBorders>
            <w:shd w:fill="FFFFFF" w:val="clear"/>
            <w:tcMar>
              <w:top w:type="dxa" w:w="80"/>
              <w:left w:type="dxa" w:w="100"/>
              <w:bottom w:type="dxa" w:w="80"/>
              <w:right w:type="dxa" w:w="100"/>
            </w:tcMar>
            <w:vAlign w:val="top"/>
          </w:tcPr>
          <w:p>
            <w:pPr>
              <w:spacing w:after="60" w:before="0"/>
            </w:pPr>
            <w:r>
              <w:rPr>
                <w:rFonts w:ascii="Arial" w:cs="Arial" w:eastAsia="Arial" w:hAnsi="Arial"/>
                <w:b/>
                <w:bCs/>
                <w:color w:val="1A1A1A"/>
                <w:sz w:val="22"/>
                <w:szCs w:val="22"/>
              </w:rPr>
              <w:t xml:space="preserve">What is ISO 13485 certification?</w:t>
            </w:r>
          </w:p>
          <w:p>
            <w:pPr>
              <w:spacing w:after="80" w:before="0"/>
            </w:pPr>
            <w:r>
              <w:rPr>
                <w:rFonts w:ascii="Arial" w:cs="Arial" w:eastAsia="Arial" w:hAnsi="Arial"/>
                <w:color w:val="333333"/>
                <w:sz w:val="20"/>
                <w:szCs w:val="20"/>
              </w:rPr>
              <w:t xml:space="preserve">ISO 13485 is an international quality management system standard specific to medical devices. It ensures consistent design, manufacturing, and post-market processes. LUFALIGHT products carrying this certification meet global medical device quality standards.</w:t>
            </w:r>
          </w:p>
        </w:tc>
      </w:tr>
      <w:tr>
        <w:tc>
          <w:tcPr>
            <w:tcW w:type="dxa" w:w="720"/>
            <w:tcBorders>
              <w:top w:val="none"/>
              <w:left w:val="none"/>
              <w:bottom w:val="none"/>
              <w:right w:val="none"/>
            </w:tcBorders>
            <w:shd w:fill="F5F5F5" w:val="clear"/>
            <w:tcMar>
              <w:top w:type="dxa" w:w="80"/>
              <w:left w:type="dxa" w:w="100"/>
              <w:bottom w:type="dxa" w:w="0"/>
              <w:right w:type="dxa" w:w="60"/>
            </w:tcMar>
            <w:vAlign w:val="top"/>
          </w:tcPr>
          <w:p>
            <w:pPr>
              <w:jc w:val="center"/>
            </w:pPr>
            <w:r>
              <w:rPr>
                <w:rFonts w:ascii="Arial" w:cs="Arial" w:eastAsia="Arial" w:hAnsi="Arial"/>
                <w:b/>
                <w:bCs/>
                <w:color w:val="CC0000"/>
                <w:sz w:val="20"/>
                <w:szCs w:val="20"/>
              </w:rPr>
              <w:t xml:space="preserve">25</w:t>
            </w:r>
          </w:p>
        </w:tc>
        <w:tc>
          <w:tcPr>
            <w:tcW w:type="dxa" w:w="8640"/>
            <w:tcBorders>
              <w:top w:val="none"/>
              <w:left w:val="none"/>
              <w:bottom w:val="none"/>
              <w:right w:val="none"/>
            </w:tcBorders>
            <w:shd w:fill="F5F5F5" w:val="clear"/>
            <w:tcMar>
              <w:top w:type="dxa" w:w="80"/>
              <w:left w:type="dxa" w:w="100"/>
              <w:bottom w:type="dxa" w:w="80"/>
              <w:right w:type="dxa" w:w="100"/>
            </w:tcMar>
            <w:vAlign w:val="top"/>
          </w:tcPr>
          <w:p>
            <w:pPr>
              <w:spacing w:after="60" w:before="0"/>
            </w:pPr>
            <w:r>
              <w:rPr>
                <w:rFonts w:ascii="Arial" w:cs="Arial" w:eastAsia="Arial" w:hAnsi="Arial"/>
                <w:b/>
                <w:bCs/>
                <w:color w:val="1A1A1A"/>
                <w:sz w:val="22"/>
                <w:szCs w:val="22"/>
              </w:rPr>
              <w:t xml:space="preserve">What is IEC 60601 certification?</w:t>
            </w:r>
          </w:p>
          <w:p>
            <w:pPr>
              <w:spacing w:after="80" w:before="0"/>
            </w:pPr>
            <w:r>
              <w:rPr>
                <w:rFonts w:ascii="Arial" w:cs="Arial" w:eastAsia="Arial" w:hAnsi="Arial"/>
                <w:color w:val="333333"/>
                <w:sz w:val="20"/>
                <w:szCs w:val="20"/>
              </w:rPr>
              <w:t xml:space="preserve">IEC 60601 is the international standard for safety and essential performance of medical electrical equipment. It covers electrical safety, electromagnetic compatibility, and mechanical safety — ensuring our devices meet clinical safety requirements.</w:t>
            </w:r>
          </w:p>
        </w:tc>
      </w:tr>
      <w:tr>
        <w:tc>
          <w:tcPr>
            <w:tcW w:type="dxa" w:w="720"/>
            <w:tcBorders>
              <w:top w:val="none"/>
              <w:left w:val="none"/>
              <w:bottom w:val="none"/>
              <w:right w:val="none"/>
            </w:tcBorders>
            <w:shd w:fill="FFFFFF" w:val="clear"/>
            <w:tcMar>
              <w:top w:type="dxa" w:w="80"/>
              <w:left w:type="dxa" w:w="100"/>
              <w:bottom w:type="dxa" w:w="0"/>
              <w:right w:type="dxa" w:w="60"/>
            </w:tcMar>
            <w:vAlign w:val="top"/>
          </w:tcPr>
          <w:p>
            <w:pPr>
              <w:jc w:val="center"/>
            </w:pPr>
            <w:r>
              <w:rPr>
                <w:rFonts w:ascii="Arial" w:cs="Arial" w:eastAsia="Arial" w:hAnsi="Arial"/>
                <w:b/>
                <w:bCs/>
                <w:color w:val="CC0000"/>
                <w:sz w:val="20"/>
                <w:szCs w:val="20"/>
              </w:rPr>
              <w:t xml:space="preserve">26</w:t>
            </w:r>
          </w:p>
        </w:tc>
        <w:tc>
          <w:tcPr>
            <w:tcW w:type="dxa" w:w="8640"/>
            <w:tcBorders>
              <w:top w:val="none"/>
              <w:left w:val="none"/>
              <w:bottom w:val="none"/>
              <w:right w:val="none"/>
            </w:tcBorders>
            <w:shd w:fill="FFFFFF" w:val="clear"/>
            <w:tcMar>
              <w:top w:type="dxa" w:w="80"/>
              <w:left w:type="dxa" w:w="100"/>
              <w:bottom w:type="dxa" w:w="80"/>
              <w:right w:type="dxa" w:w="100"/>
            </w:tcMar>
            <w:vAlign w:val="top"/>
          </w:tcPr>
          <w:p>
            <w:pPr>
              <w:spacing w:after="60" w:before="0"/>
            </w:pPr>
            <w:r>
              <w:rPr>
                <w:rFonts w:ascii="Arial" w:cs="Arial" w:eastAsia="Arial" w:hAnsi="Arial"/>
                <w:b/>
                <w:bCs/>
                <w:color w:val="1A1A1A"/>
                <w:sz w:val="22"/>
                <w:szCs w:val="22"/>
              </w:rPr>
              <w:t xml:space="preserve">How deep does the light penetrate my body?</w:t>
            </w:r>
          </w:p>
          <w:p>
            <w:pPr>
              <w:spacing w:after="80" w:before="0"/>
            </w:pPr>
            <w:r>
              <w:rPr>
                <w:rFonts w:ascii="Arial" w:cs="Arial" w:eastAsia="Arial" w:hAnsi="Arial"/>
                <w:color w:val="333333"/>
                <w:sz w:val="20"/>
                <w:szCs w:val="20"/>
              </w:rPr>
              <w:t xml:space="preserve">Red light (660 nm) penetrates approximately 2–3 mm into the skin. NIR at 810–850 nm reaches 5–10 mm (muscle and joint tissue). Our exclusive 1060 nm ultra-deep NIR (BK300) can penetrate 10+ mm, reaching deeper muscle, bone, and circulatory tissue.</w:t>
            </w:r>
          </w:p>
        </w:tc>
      </w:tr>
      <w:tr>
        <w:tc>
          <w:tcPr>
            <w:tcW w:type="dxa" w:w="720"/>
            <w:tcBorders>
              <w:top w:val="none"/>
              <w:left w:val="none"/>
              <w:bottom w:val="none"/>
              <w:right w:val="none"/>
            </w:tcBorders>
            <w:shd w:fill="F5F5F5" w:val="clear"/>
            <w:tcMar>
              <w:top w:type="dxa" w:w="80"/>
              <w:left w:type="dxa" w:w="100"/>
              <w:bottom w:type="dxa" w:w="0"/>
              <w:right w:type="dxa" w:w="60"/>
            </w:tcMar>
            <w:vAlign w:val="top"/>
          </w:tcPr>
          <w:p>
            <w:pPr>
              <w:jc w:val="center"/>
            </w:pPr>
            <w:r>
              <w:rPr>
                <w:rFonts w:ascii="Arial" w:cs="Arial" w:eastAsia="Arial" w:hAnsi="Arial"/>
                <w:b/>
                <w:bCs/>
                <w:color w:val="CC0000"/>
                <w:sz w:val="20"/>
                <w:szCs w:val="20"/>
              </w:rPr>
              <w:t xml:space="preserve">27</w:t>
            </w:r>
          </w:p>
        </w:tc>
        <w:tc>
          <w:tcPr>
            <w:tcW w:type="dxa" w:w="8640"/>
            <w:tcBorders>
              <w:top w:val="none"/>
              <w:left w:val="none"/>
              <w:bottom w:val="none"/>
              <w:right w:val="none"/>
            </w:tcBorders>
            <w:shd w:fill="F5F5F5" w:val="clear"/>
            <w:tcMar>
              <w:top w:type="dxa" w:w="80"/>
              <w:left w:type="dxa" w:w="100"/>
              <w:bottom w:type="dxa" w:w="80"/>
              <w:right w:type="dxa" w:w="100"/>
            </w:tcMar>
            <w:vAlign w:val="top"/>
          </w:tcPr>
          <w:p>
            <w:pPr>
              <w:spacing w:after="60" w:before="0"/>
            </w:pPr>
            <w:r>
              <w:rPr>
                <w:rFonts w:ascii="Arial" w:cs="Arial" w:eastAsia="Arial" w:hAnsi="Arial"/>
                <w:b/>
                <w:bCs/>
                <w:color w:val="1A1A1A"/>
                <w:sz w:val="22"/>
                <w:szCs w:val="22"/>
              </w:rPr>
              <w:t xml:space="preserve">How long does a session take? How often should I use it?</w:t>
            </w:r>
          </w:p>
          <w:p>
            <w:pPr>
              <w:spacing w:after="80" w:before="0"/>
            </w:pPr>
            <w:r>
              <w:rPr>
                <w:rFonts w:ascii="Arial" w:cs="Arial" w:eastAsia="Arial" w:hAnsi="Arial"/>
                <w:color w:val="333333"/>
                <w:sz w:val="20"/>
                <w:szCs w:val="20"/>
              </w:rPr>
              <w:t xml:space="preserve">Typical sessions are 10–20 minutes per area. For most goals, daily or every-other-day use is recommended. The device manual and included protocol guide provide evidence-based session schedules tailored to your specific unit.</w:t>
            </w:r>
          </w:p>
        </w:tc>
      </w:tr>
      <w:tr>
        <w:tc>
          <w:tcPr>
            <w:tcW w:type="dxa" w:w="720"/>
            <w:tcBorders>
              <w:top w:val="none"/>
              <w:left w:val="none"/>
              <w:bottom w:val="none"/>
              <w:right w:val="none"/>
            </w:tcBorders>
            <w:shd w:fill="FFFFFF" w:val="clear"/>
            <w:tcMar>
              <w:top w:type="dxa" w:w="80"/>
              <w:left w:type="dxa" w:w="100"/>
              <w:bottom w:type="dxa" w:w="0"/>
              <w:right w:type="dxa" w:w="60"/>
            </w:tcMar>
            <w:vAlign w:val="top"/>
          </w:tcPr>
          <w:p>
            <w:pPr>
              <w:jc w:val="center"/>
            </w:pPr>
            <w:r>
              <w:rPr>
                <w:rFonts w:ascii="Arial" w:cs="Arial" w:eastAsia="Arial" w:hAnsi="Arial"/>
                <w:b/>
                <w:bCs/>
                <w:color w:val="CC0000"/>
                <w:sz w:val="20"/>
                <w:szCs w:val="20"/>
              </w:rPr>
              <w:t xml:space="preserve">28</w:t>
            </w:r>
          </w:p>
        </w:tc>
        <w:tc>
          <w:tcPr>
            <w:tcW w:type="dxa" w:w="8640"/>
            <w:tcBorders>
              <w:top w:val="none"/>
              <w:left w:val="none"/>
              <w:bottom w:val="none"/>
              <w:right w:val="none"/>
            </w:tcBorders>
            <w:shd w:fill="FFFFFF" w:val="clear"/>
            <w:tcMar>
              <w:top w:type="dxa" w:w="80"/>
              <w:left w:type="dxa" w:w="100"/>
              <w:bottom w:type="dxa" w:w="80"/>
              <w:right w:type="dxa" w:w="100"/>
            </w:tcMar>
            <w:vAlign w:val="top"/>
          </w:tcPr>
          <w:p>
            <w:pPr>
              <w:spacing w:after="60" w:before="0"/>
            </w:pPr>
            <w:r>
              <w:rPr>
                <w:rFonts w:ascii="Arial" w:cs="Arial" w:eastAsia="Arial" w:hAnsi="Arial"/>
                <w:b/>
                <w:bCs/>
                <w:color w:val="1A1A1A"/>
                <w:sz w:val="22"/>
                <w:szCs w:val="22"/>
              </w:rPr>
              <w:t xml:space="preserve">What is the difference between 660 nm and 850 nm wavelengths?</w:t>
            </w:r>
          </w:p>
          <w:p>
            <w:pPr>
              <w:spacing w:after="80" w:before="0"/>
            </w:pPr>
            <w:r>
              <w:rPr>
                <w:rFonts w:ascii="Arial" w:cs="Arial" w:eastAsia="Arial" w:hAnsi="Arial"/>
                <w:color w:val="333333"/>
                <w:sz w:val="20"/>
                <w:szCs w:val="20"/>
              </w:rPr>
              <w:t xml:space="preserve">660 nm (visible red) is absorbed most efficiently by mitochondria in skin cells — best for surface-level skin benefits. 850 nm (near-infrared, invisible) penetrates deeper and is most effective for muscle recovery, joint pain, and deeper tissue repair.</w:t>
            </w:r>
          </w:p>
        </w:tc>
      </w:tr>
      <w:tr>
        <w:tc>
          <w:tcPr>
            <w:tcW w:type="dxa" w:w="720"/>
            <w:tcBorders>
              <w:top w:val="none"/>
              <w:left w:val="none"/>
              <w:bottom w:val="none"/>
              <w:right w:val="none"/>
            </w:tcBorders>
            <w:shd w:fill="F5F5F5" w:val="clear"/>
            <w:tcMar>
              <w:top w:type="dxa" w:w="80"/>
              <w:left w:type="dxa" w:w="100"/>
              <w:bottom w:type="dxa" w:w="0"/>
              <w:right w:type="dxa" w:w="60"/>
            </w:tcMar>
            <w:vAlign w:val="top"/>
          </w:tcPr>
          <w:p>
            <w:pPr>
              <w:jc w:val="center"/>
            </w:pPr>
            <w:r>
              <w:rPr>
                <w:rFonts w:ascii="Arial" w:cs="Arial" w:eastAsia="Arial" w:hAnsi="Arial"/>
                <w:b/>
                <w:bCs/>
                <w:color w:val="CC0000"/>
                <w:sz w:val="20"/>
                <w:szCs w:val="20"/>
              </w:rPr>
              <w:t xml:space="preserve">29</w:t>
            </w:r>
          </w:p>
        </w:tc>
        <w:tc>
          <w:tcPr>
            <w:tcW w:type="dxa" w:w="8640"/>
            <w:tcBorders>
              <w:top w:val="none"/>
              <w:left w:val="none"/>
              <w:bottom w:val="none"/>
              <w:right w:val="none"/>
            </w:tcBorders>
            <w:shd w:fill="F5F5F5" w:val="clear"/>
            <w:tcMar>
              <w:top w:type="dxa" w:w="80"/>
              <w:left w:type="dxa" w:w="100"/>
              <w:bottom w:type="dxa" w:w="80"/>
              <w:right w:type="dxa" w:w="100"/>
            </w:tcMar>
            <w:vAlign w:val="top"/>
          </w:tcPr>
          <w:p>
            <w:pPr>
              <w:spacing w:after="60" w:before="0"/>
            </w:pPr>
            <w:r>
              <w:rPr>
                <w:rFonts w:ascii="Arial" w:cs="Arial" w:eastAsia="Arial" w:hAnsi="Arial"/>
                <w:b/>
                <w:bCs/>
                <w:color w:val="1A1A1A"/>
                <w:sz w:val="22"/>
                <w:szCs w:val="22"/>
              </w:rPr>
              <w:t xml:space="preserve">Can I use multiple devices at the same time?</w:t>
            </w:r>
          </w:p>
          <w:p>
            <w:pPr>
              <w:spacing w:after="80" w:before="0"/>
            </w:pPr>
            <w:r>
              <w:rPr>
                <w:rFonts w:ascii="Arial" w:cs="Arial" w:eastAsia="Arial" w:hAnsi="Arial"/>
                <w:color w:val="333333"/>
                <w:sz w:val="20"/>
                <w:szCs w:val="20"/>
              </w:rPr>
              <w:t xml:space="preserve">Yes, many users combine devices — for example, the SleepGlow Eye Mask (EM04) during a full-body panel session. Ensure total session times remain within recommended limits per the protocols in your manuals.</w:t>
            </w:r>
          </w:p>
        </w:tc>
      </w:tr>
      <w:tr>
        <w:tc>
          <w:tcPr>
            <w:tcW w:type="dxa" w:w="720"/>
            <w:tcBorders>
              <w:top w:val="none"/>
              <w:left w:val="none"/>
              <w:bottom w:val="none"/>
              <w:right w:val="none"/>
            </w:tcBorders>
            <w:shd w:fill="FFFFFF" w:val="clear"/>
            <w:tcMar>
              <w:top w:type="dxa" w:w="80"/>
              <w:left w:type="dxa" w:w="100"/>
              <w:bottom w:type="dxa" w:w="0"/>
              <w:right w:type="dxa" w:w="60"/>
            </w:tcMar>
            <w:vAlign w:val="top"/>
          </w:tcPr>
          <w:p>
            <w:pPr>
              <w:jc w:val="center"/>
            </w:pPr>
            <w:r>
              <w:rPr>
                <w:rFonts w:ascii="Arial" w:cs="Arial" w:eastAsia="Arial" w:hAnsi="Arial"/>
                <w:b/>
                <w:bCs/>
                <w:color w:val="CC0000"/>
                <w:sz w:val="20"/>
                <w:szCs w:val="20"/>
              </w:rPr>
              <w:t xml:space="preserve">30</w:t>
            </w:r>
          </w:p>
        </w:tc>
        <w:tc>
          <w:tcPr>
            <w:tcW w:type="dxa" w:w="8640"/>
            <w:tcBorders>
              <w:top w:val="none"/>
              <w:left w:val="none"/>
              <w:bottom w:val="none"/>
              <w:right w:val="none"/>
            </w:tcBorders>
            <w:shd w:fill="FFFFFF" w:val="clear"/>
            <w:tcMar>
              <w:top w:type="dxa" w:w="80"/>
              <w:left w:type="dxa" w:w="100"/>
              <w:bottom w:type="dxa" w:w="80"/>
              <w:right w:type="dxa" w:w="100"/>
            </w:tcMar>
            <w:vAlign w:val="top"/>
          </w:tcPr>
          <w:p>
            <w:pPr>
              <w:spacing w:after="60" w:before="0"/>
            </w:pPr>
            <w:r>
              <w:rPr>
                <w:rFonts w:ascii="Arial" w:cs="Arial" w:eastAsia="Arial" w:hAnsi="Arial"/>
                <w:b/>
                <w:bCs/>
                <w:color w:val="1A1A1A"/>
                <w:sz w:val="22"/>
                <w:szCs w:val="22"/>
              </w:rPr>
              <w:t xml:space="preserve">What is Photobiomodulation (PBM)?</w:t>
            </w:r>
          </w:p>
          <w:p>
            <w:pPr>
              <w:spacing w:after="80" w:before="0"/>
            </w:pPr>
            <w:r>
              <w:rPr>
                <w:rFonts w:ascii="Arial" w:cs="Arial" w:eastAsia="Arial" w:hAnsi="Arial"/>
                <w:color w:val="333333"/>
                <w:sz w:val="20"/>
                <w:szCs w:val="20"/>
              </w:rPr>
              <w:t xml:space="preserve">Photobiomodulation is the scientific term for the biological process by which specific wavelengths of light stimulate cellular activity. The primary mechanism involves cytochrome c oxidase in the mitochondrial electron transport chain absorbing photons, leading to increased ATP production and downstream therapeutic effects.</w:t>
            </w:r>
          </w:p>
        </w:tc>
      </w:tr>
    </w:tbl>
    <w:p>
      <w:pPr>
        <w:spacing w:after="0" w:before="240"/>
      </w:pPr>
    </w:p>
    <w:p>
      <w:pPr>
        <w:pBdr>
          <w:bottom w:val="single" w:color="1A1A1A" w:sz="8" w:space="1"/>
        </w:pBdr>
        <w:spacing w:after="160" w:before="400"/>
      </w:pPr>
      <w:r>
        <w:rPr>
          <w:rFonts w:ascii="Arial" w:cs="Arial" w:eastAsia="Arial" w:hAnsi="Arial"/>
          <w:b/>
          <w:bCs/>
          <w:caps/>
          <w:color w:val="1A1A1A"/>
          <w:sz w:val="26"/>
          <w:szCs w:val="26"/>
        </w:rPr>
        <w:t xml:space="preserve">AFTER-SALES &amp; WARRANTY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left w:val="none"/>
              <w:bottom w:val="none"/>
              <w:right w:val="none"/>
            </w:tcBorders>
            <w:shd w:fill="F5F5F5" w:val="clear"/>
            <w:tcMar>
              <w:top w:type="dxa" w:w="80"/>
              <w:left w:type="dxa" w:w="100"/>
              <w:bottom w:type="dxa" w:w="0"/>
              <w:right w:type="dxa" w:w="60"/>
            </w:tcMar>
            <w:vAlign w:val="top"/>
          </w:tcPr>
          <w:p>
            <w:pPr>
              <w:jc w:val="center"/>
            </w:pPr>
            <w:r>
              <w:rPr>
                <w:rFonts w:ascii="Arial" w:cs="Arial" w:eastAsia="Arial" w:hAnsi="Arial"/>
                <w:b/>
                <w:bCs/>
                <w:color w:val="CC0000"/>
                <w:sz w:val="20"/>
                <w:szCs w:val="20"/>
              </w:rPr>
              <w:t xml:space="preserve">31</w:t>
            </w:r>
          </w:p>
        </w:tc>
        <w:tc>
          <w:tcPr>
            <w:tcW w:type="dxa" w:w="8640"/>
            <w:tcBorders>
              <w:top w:val="none"/>
              <w:left w:val="none"/>
              <w:bottom w:val="none"/>
              <w:right w:val="none"/>
            </w:tcBorders>
            <w:shd w:fill="F5F5F5" w:val="clear"/>
            <w:tcMar>
              <w:top w:type="dxa" w:w="80"/>
              <w:left w:type="dxa" w:w="100"/>
              <w:bottom w:type="dxa" w:w="80"/>
              <w:right w:type="dxa" w:w="100"/>
            </w:tcMar>
            <w:vAlign w:val="top"/>
          </w:tcPr>
          <w:p>
            <w:pPr>
              <w:spacing w:after="60" w:before="0"/>
            </w:pPr>
            <w:r>
              <w:rPr>
                <w:rFonts w:ascii="Arial" w:cs="Arial" w:eastAsia="Arial" w:hAnsi="Arial"/>
                <w:b/>
                <w:bCs/>
                <w:color w:val="1A1A1A"/>
                <w:sz w:val="22"/>
                <w:szCs w:val="22"/>
              </w:rPr>
              <w:t xml:space="preserve">What is LUFALIGHT's warranty policy?</w:t>
            </w:r>
          </w:p>
          <w:p>
            <w:pPr>
              <w:spacing w:after="80" w:before="0"/>
            </w:pPr>
            <w:r>
              <w:rPr>
                <w:rFonts w:ascii="Arial" w:cs="Arial" w:eastAsia="Arial" w:hAnsi="Arial"/>
                <w:color w:val="333333"/>
                <w:sz w:val="20"/>
                <w:szCs w:val="20"/>
              </w:rPr>
              <w:t xml:space="preserve">All LUFALIGHT devices come with a 2-Year Warranty covering manufacturing defects in materials and workmanship. The warranty does not cover physical damage from misuse, unauthorized modifications, or normal wear and tear.</w:t>
            </w:r>
          </w:p>
        </w:tc>
      </w:tr>
      <w:tr>
        <w:tc>
          <w:tcPr>
            <w:tcW w:type="dxa" w:w="720"/>
            <w:tcBorders>
              <w:top w:val="none"/>
              <w:left w:val="none"/>
              <w:bottom w:val="none"/>
              <w:right w:val="none"/>
            </w:tcBorders>
            <w:shd w:fill="FFFFFF" w:val="clear"/>
            <w:tcMar>
              <w:top w:type="dxa" w:w="80"/>
              <w:left w:type="dxa" w:w="100"/>
              <w:bottom w:type="dxa" w:w="0"/>
              <w:right w:type="dxa" w:w="60"/>
            </w:tcMar>
            <w:vAlign w:val="top"/>
          </w:tcPr>
          <w:p>
            <w:pPr>
              <w:jc w:val="center"/>
            </w:pPr>
            <w:r>
              <w:rPr>
                <w:rFonts w:ascii="Arial" w:cs="Arial" w:eastAsia="Arial" w:hAnsi="Arial"/>
                <w:b/>
                <w:bCs/>
                <w:color w:val="CC0000"/>
                <w:sz w:val="20"/>
                <w:szCs w:val="20"/>
              </w:rPr>
              <w:t xml:space="preserve">32</w:t>
            </w:r>
          </w:p>
        </w:tc>
        <w:tc>
          <w:tcPr>
            <w:tcW w:type="dxa" w:w="8640"/>
            <w:tcBorders>
              <w:top w:val="none"/>
              <w:left w:val="none"/>
              <w:bottom w:val="none"/>
              <w:right w:val="none"/>
            </w:tcBorders>
            <w:shd w:fill="FFFFFF" w:val="clear"/>
            <w:tcMar>
              <w:top w:type="dxa" w:w="80"/>
              <w:left w:type="dxa" w:w="100"/>
              <w:bottom w:type="dxa" w:w="80"/>
              <w:right w:type="dxa" w:w="100"/>
            </w:tcMar>
            <w:vAlign w:val="top"/>
          </w:tcPr>
          <w:p>
            <w:pPr>
              <w:spacing w:after="60" w:before="0"/>
            </w:pPr>
            <w:r>
              <w:rPr>
                <w:rFonts w:ascii="Arial" w:cs="Arial" w:eastAsia="Arial" w:hAnsi="Arial"/>
                <w:b/>
                <w:bCs/>
                <w:color w:val="1A1A1A"/>
                <w:sz w:val="22"/>
                <w:szCs w:val="22"/>
              </w:rPr>
              <w:t xml:space="preserve">How do I claim a warranty?</w:t>
            </w:r>
          </w:p>
          <w:p>
            <w:pPr>
              <w:spacing w:after="80" w:before="0"/>
            </w:pPr>
            <w:r>
              <w:rPr>
                <w:rFonts w:ascii="Arial" w:cs="Arial" w:eastAsia="Arial" w:hAnsi="Arial"/>
                <w:color w:val="333333"/>
                <w:sz w:val="20"/>
                <w:szCs w:val="20"/>
              </w:rPr>
              <w:t xml:space="preserve">Email warranty@lufalight.com with your order number, photos or video of the issue, and a brief description. Our team will respond within 2 business days with next steps — repair, replacement, or refund as appropriate.</w:t>
            </w:r>
          </w:p>
        </w:tc>
      </w:tr>
      <w:tr>
        <w:tc>
          <w:tcPr>
            <w:tcW w:type="dxa" w:w="720"/>
            <w:tcBorders>
              <w:top w:val="none"/>
              <w:left w:val="none"/>
              <w:bottom w:val="none"/>
              <w:right w:val="none"/>
            </w:tcBorders>
            <w:shd w:fill="F5F5F5" w:val="clear"/>
            <w:tcMar>
              <w:top w:type="dxa" w:w="80"/>
              <w:left w:type="dxa" w:w="100"/>
              <w:bottom w:type="dxa" w:w="0"/>
              <w:right w:type="dxa" w:w="60"/>
            </w:tcMar>
            <w:vAlign w:val="top"/>
          </w:tcPr>
          <w:p>
            <w:pPr>
              <w:jc w:val="center"/>
            </w:pPr>
            <w:r>
              <w:rPr>
                <w:rFonts w:ascii="Arial" w:cs="Arial" w:eastAsia="Arial" w:hAnsi="Arial"/>
                <w:b/>
                <w:bCs/>
                <w:color w:val="CC0000"/>
                <w:sz w:val="20"/>
                <w:szCs w:val="20"/>
              </w:rPr>
              <w:t xml:space="preserve">33</w:t>
            </w:r>
          </w:p>
        </w:tc>
        <w:tc>
          <w:tcPr>
            <w:tcW w:type="dxa" w:w="8640"/>
            <w:tcBorders>
              <w:top w:val="none"/>
              <w:left w:val="none"/>
              <w:bottom w:val="none"/>
              <w:right w:val="none"/>
            </w:tcBorders>
            <w:shd w:fill="F5F5F5" w:val="clear"/>
            <w:tcMar>
              <w:top w:type="dxa" w:w="80"/>
              <w:left w:type="dxa" w:w="100"/>
              <w:bottom w:type="dxa" w:w="80"/>
              <w:right w:type="dxa" w:w="100"/>
            </w:tcMar>
            <w:vAlign w:val="top"/>
          </w:tcPr>
          <w:p>
            <w:pPr>
              <w:spacing w:after="60" w:before="0"/>
            </w:pPr>
            <w:r>
              <w:rPr>
                <w:rFonts w:ascii="Arial" w:cs="Arial" w:eastAsia="Arial" w:hAnsi="Arial"/>
                <w:b/>
                <w:bCs/>
                <w:color w:val="1A1A1A"/>
                <w:sz w:val="22"/>
                <w:szCs w:val="22"/>
              </w:rPr>
              <w:t xml:space="preserve">What is your return policy?</w:t>
            </w:r>
          </w:p>
          <w:p>
            <w:pPr>
              <w:spacing w:after="80" w:before="0"/>
            </w:pPr>
            <w:r>
              <w:rPr>
                <w:rFonts w:ascii="Arial" w:cs="Arial" w:eastAsia="Arial" w:hAnsi="Arial"/>
                <w:color w:val="333333"/>
                <w:sz w:val="20"/>
                <w:szCs w:val="20"/>
              </w:rPr>
              <w:t xml:space="preserve">We offer a 30-Day Satisfaction Guarantee. If you are not satisfied, return the device in original condition and packaging within 30 days of delivery for a full refund (less return shipping). Contact support@lufalight.com to initiate a return.</w:t>
            </w:r>
          </w:p>
        </w:tc>
      </w:tr>
      <w:tr>
        <w:tc>
          <w:tcPr>
            <w:tcW w:type="dxa" w:w="720"/>
            <w:tcBorders>
              <w:top w:val="none"/>
              <w:left w:val="none"/>
              <w:bottom w:val="none"/>
              <w:right w:val="none"/>
            </w:tcBorders>
            <w:shd w:fill="FFFFFF" w:val="clear"/>
            <w:tcMar>
              <w:top w:type="dxa" w:w="80"/>
              <w:left w:type="dxa" w:w="100"/>
              <w:bottom w:type="dxa" w:w="0"/>
              <w:right w:type="dxa" w:w="60"/>
            </w:tcMar>
            <w:vAlign w:val="top"/>
          </w:tcPr>
          <w:p>
            <w:pPr>
              <w:jc w:val="center"/>
            </w:pPr>
            <w:r>
              <w:rPr>
                <w:rFonts w:ascii="Arial" w:cs="Arial" w:eastAsia="Arial" w:hAnsi="Arial"/>
                <w:b/>
                <w:bCs/>
                <w:color w:val="CC0000"/>
                <w:sz w:val="20"/>
                <w:szCs w:val="20"/>
              </w:rPr>
              <w:t xml:space="preserve">34</w:t>
            </w:r>
          </w:p>
        </w:tc>
        <w:tc>
          <w:tcPr>
            <w:tcW w:type="dxa" w:w="8640"/>
            <w:tcBorders>
              <w:top w:val="none"/>
              <w:left w:val="none"/>
              <w:bottom w:val="none"/>
              <w:right w:val="none"/>
            </w:tcBorders>
            <w:shd w:fill="FFFFFF" w:val="clear"/>
            <w:tcMar>
              <w:top w:type="dxa" w:w="80"/>
              <w:left w:type="dxa" w:w="100"/>
              <w:bottom w:type="dxa" w:w="80"/>
              <w:right w:type="dxa" w:w="100"/>
            </w:tcMar>
            <w:vAlign w:val="top"/>
          </w:tcPr>
          <w:p>
            <w:pPr>
              <w:spacing w:after="60" w:before="0"/>
            </w:pPr>
            <w:r>
              <w:rPr>
                <w:rFonts w:ascii="Arial" w:cs="Arial" w:eastAsia="Arial" w:hAnsi="Arial"/>
                <w:b/>
                <w:bCs/>
                <w:color w:val="1A1A1A"/>
                <w:sz w:val="22"/>
                <w:szCs w:val="22"/>
              </w:rPr>
              <w:t xml:space="preserve">My device is not turning on. What should I do?</w:t>
            </w:r>
          </w:p>
          <w:p>
            <w:pPr>
              <w:spacing w:after="80" w:before="0"/>
            </w:pPr>
            <w:r>
              <w:rPr>
                <w:rFonts w:ascii="Arial" w:cs="Arial" w:eastAsia="Arial" w:hAnsi="Arial"/>
                <w:color w:val="333333"/>
                <w:sz w:val="20"/>
                <w:szCs w:val="20"/>
              </w:rPr>
              <w:t xml:space="preserve">First, check the power connection and try a different outlet. Ensure the power adapter is fully seated. Perform a factory reset if your model supports it (see manual). If the issue persists, contact support@lufalight.com — do not attempt to open or repair the device yourself.</w:t>
            </w:r>
          </w:p>
        </w:tc>
      </w:tr>
      <w:tr>
        <w:tc>
          <w:tcPr>
            <w:tcW w:type="dxa" w:w="720"/>
            <w:tcBorders>
              <w:top w:val="none"/>
              <w:left w:val="none"/>
              <w:bottom w:val="none"/>
              <w:right w:val="none"/>
            </w:tcBorders>
            <w:shd w:fill="F5F5F5" w:val="clear"/>
            <w:tcMar>
              <w:top w:type="dxa" w:w="80"/>
              <w:left w:type="dxa" w:w="100"/>
              <w:bottom w:type="dxa" w:w="0"/>
              <w:right w:type="dxa" w:w="60"/>
            </w:tcMar>
            <w:vAlign w:val="top"/>
          </w:tcPr>
          <w:p>
            <w:pPr>
              <w:jc w:val="center"/>
            </w:pPr>
            <w:r>
              <w:rPr>
                <w:rFonts w:ascii="Arial" w:cs="Arial" w:eastAsia="Arial" w:hAnsi="Arial"/>
                <w:b/>
                <w:bCs/>
                <w:color w:val="CC0000"/>
                <w:sz w:val="20"/>
                <w:szCs w:val="20"/>
              </w:rPr>
              <w:t xml:space="preserve">35</w:t>
            </w:r>
          </w:p>
        </w:tc>
        <w:tc>
          <w:tcPr>
            <w:tcW w:type="dxa" w:w="8640"/>
            <w:tcBorders>
              <w:top w:val="none"/>
              <w:left w:val="none"/>
              <w:bottom w:val="none"/>
              <w:right w:val="none"/>
            </w:tcBorders>
            <w:shd w:fill="F5F5F5" w:val="clear"/>
            <w:tcMar>
              <w:top w:type="dxa" w:w="80"/>
              <w:left w:type="dxa" w:w="100"/>
              <w:bottom w:type="dxa" w:w="80"/>
              <w:right w:type="dxa" w:w="100"/>
            </w:tcMar>
            <w:vAlign w:val="top"/>
          </w:tcPr>
          <w:p>
            <w:pPr>
              <w:spacing w:after="60" w:before="0"/>
            </w:pPr>
            <w:r>
              <w:rPr>
                <w:rFonts w:ascii="Arial" w:cs="Arial" w:eastAsia="Arial" w:hAnsi="Arial"/>
                <w:b/>
                <w:bCs/>
                <w:color w:val="1A1A1A"/>
                <w:sz w:val="22"/>
                <w:szCs w:val="22"/>
              </w:rPr>
              <w:t xml:space="preserve">Can I get replacement parts or accessories?</w:t>
            </w:r>
          </w:p>
          <w:p>
            <w:pPr>
              <w:spacing w:after="80" w:before="0"/>
            </w:pPr>
            <w:r>
              <w:rPr>
                <w:rFonts w:ascii="Arial" w:cs="Arial" w:eastAsia="Arial" w:hAnsi="Arial"/>
                <w:color w:val="333333"/>
                <w:sz w:val="20"/>
                <w:szCs w:val="20"/>
              </w:rPr>
              <w:t xml:space="preserve">Yes. Replacement stands, power adapters, eye protection, and straps are available. Contact support@lufalight.com or visit the Accessories section on our website.</w:t>
            </w:r>
          </w:p>
        </w:tc>
      </w:tr>
      <w:tr>
        <w:tc>
          <w:tcPr>
            <w:tcW w:type="dxa" w:w="720"/>
            <w:tcBorders>
              <w:top w:val="none"/>
              <w:left w:val="none"/>
              <w:bottom w:val="none"/>
              <w:right w:val="none"/>
            </w:tcBorders>
            <w:shd w:fill="FFFFFF" w:val="clear"/>
            <w:tcMar>
              <w:top w:type="dxa" w:w="80"/>
              <w:left w:type="dxa" w:w="100"/>
              <w:bottom w:type="dxa" w:w="0"/>
              <w:right w:type="dxa" w:w="60"/>
            </w:tcMar>
            <w:vAlign w:val="top"/>
          </w:tcPr>
          <w:p>
            <w:pPr>
              <w:jc w:val="center"/>
            </w:pPr>
            <w:r>
              <w:rPr>
                <w:rFonts w:ascii="Arial" w:cs="Arial" w:eastAsia="Arial" w:hAnsi="Arial"/>
                <w:b/>
                <w:bCs/>
                <w:color w:val="CC0000"/>
                <w:sz w:val="20"/>
                <w:szCs w:val="20"/>
              </w:rPr>
              <w:t xml:space="preserve">36</w:t>
            </w:r>
          </w:p>
        </w:tc>
        <w:tc>
          <w:tcPr>
            <w:tcW w:type="dxa" w:w="8640"/>
            <w:tcBorders>
              <w:top w:val="none"/>
              <w:left w:val="none"/>
              <w:bottom w:val="none"/>
              <w:right w:val="none"/>
            </w:tcBorders>
            <w:shd w:fill="FFFFFF" w:val="clear"/>
            <w:tcMar>
              <w:top w:type="dxa" w:w="80"/>
              <w:left w:type="dxa" w:w="100"/>
              <w:bottom w:type="dxa" w:w="80"/>
              <w:right w:type="dxa" w:w="100"/>
            </w:tcMar>
            <w:vAlign w:val="top"/>
          </w:tcPr>
          <w:p>
            <w:pPr>
              <w:spacing w:after="60" w:before="0"/>
            </w:pPr>
            <w:r>
              <w:rPr>
                <w:rFonts w:ascii="Arial" w:cs="Arial" w:eastAsia="Arial" w:hAnsi="Arial"/>
                <w:b/>
                <w:bCs/>
                <w:color w:val="1A1A1A"/>
                <w:sz w:val="22"/>
                <w:szCs w:val="22"/>
              </w:rPr>
              <w:t xml:space="preserve">How do I contact LUFALIGHT customer support?</w:t>
            </w:r>
          </w:p>
          <w:p>
            <w:pPr>
              <w:spacing w:after="80" w:before="0"/>
            </w:pPr>
            <w:r>
              <w:rPr>
                <w:rFonts w:ascii="Arial" w:cs="Arial" w:eastAsia="Arial" w:hAnsi="Arial"/>
                <w:color w:val="333333"/>
                <w:sz w:val="20"/>
                <w:szCs w:val="20"/>
              </w:rPr>
              <w:t xml:space="preserve">Email: support@lufalight.com | Phone/WhatsApp: available on the Contact page at lufalight.com. Our support hours are Monday–Friday 9am–5pm PST / EST.</w:t>
            </w:r>
          </w:p>
        </w:tc>
      </w:tr>
      <w:tr>
        <w:tc>
          <w:tcPr>
            <w:tcW w:type="dxa" w:w="720"/>
            <w:tcBorders>
              <w:top w:val="none"/>
              <w:left w:val="none"/>
              <w:bottom w:val="none"/>
              <w:right w:val="none"/>
            </w:tcBorders>
            <w:shd w:fill="F5F5F5" w:val="clear"/>
            <w:tcMar>
              <w:top w:type="dxa" w:w="80"/>
              <w:left w:type="dxa" w:w="100"/>
              <w:bottom w:type="dxa" w:w="0"/>
              <w:right w:type="dxa" w:w="60"/>
            </w:tcMar>
            <w:vAlign w:val="top"/>
          </w:tcPr>
          <w:p>
            <w:pPr>
              <w:jc w:val="center"/>
            </w:pPr>
            <w:r>
              <w:rPr>
                <w:rFonts w:ascii="Arial" w:cs="Arial" w:eastAsia="Arial" w:hAnsi="Arial"/>
                <w:b/>
                <w:bCs/>
                <w:color w:val="CC0000"/>
                <w:sz w:val="20"/>
                <w:szCs w:val="20"/>
              </w:rPr>
              <w:t xml:space="preserve">37</w:t>
            </w:r>
          </w:p>
        </w:tc>
        <w:tc>
          <w:tcPr>
            <w:tcW w:type="dxa" w:w="8640"/>
            <w:tcBorders>
              <w:top w:val="none"/>
              <w:left w:val="none"/>
              <w:bottom w:val="none"/>
              <w:right w:val="none"/>
            </w:tcBorders>
            <w:shd w:fill="F5F5F5" w:val="clear"/>
            <w:tcMar>
              <w:top w:type="dxa" w:w="80"/>
              <w:left w:type="dxa" w:w="100"/>
              <w:bottom w:type="dxa" w:w="80"/>
              <w:right w:type="dxa" w:w="100"/>
            </w:tcMar>
            <w:vAlign w:val="top"/>
          </w:tcPr>
          <w:p>
            <w:pPr>
              <w:spacing w:after="60" w:before="0"/>
            </w:pPr>
            <w:r>
              <w:rPr>
                <w:rFonts w:ascii="Arial" w:cs="Arial" w:eastAsia="Arial" w:hAnsi="Arial"/>
                <w:b/>
                <w:bCs/>
                <w:color w:val="1A1A1A"/>
                <w:sz w:val="22"/>
                <w:szCs w:val="22"/>
              </w:rPr>
              <w:t xml:space="preserve">Does the warranty cover international shipping for returns?</w:t>
            </w:r>
          </w:p>
          <w:p>
            <w:pPr>
              <w:spacing w:after="80" w:before="0"/>
            </w:pPr>
            <w:r>
              <w:rPr>
                <w:rFonts w:ascii="Arial" w:cs="Arial" w:eastAsia="Arial" w:hAnsi="Arial"/>
                <w:color w:val="333333"/>
                <w:sz w:val="20"/>
                <w:szCs w:val="20"/>
              </w:rPr>
              <w:t xml:space="preserve">For warranty claims, LUFALIGHT covers return shipping costs within Canada. For US returns, we provide a prepaid shipping label for valid warranty claims. International return shipping for non-warranty returns is the customer's responsibility.</w:t>
            </w:r>
          </w:p>
        </w:tc>
      </w:tr>
      <w:tr>
        <w:tc>
          <w:tcPr>
            <w:tcW w:type="dxa" w:w="720"/>
            <w:tcBorders>
              <w:top w:val="none"/>
              <w:left w:val="none"/>
              <w:bottom w:val="none"/>
              <w:right w:val="none"/>
            </w:tcBorders>
            <w:shd w:fill="FFFFFF" w:val="clear"/>
            <w:tcMar>
              <w:top w:type="dxa" w:w="80"/>
              <w:left w:type="dxa" w:w="100"/>
              <w:bottom w:type="dxa" w:w="0"/>
              <w:right w:type="dxa" w:w="60"/>
            </w:tcMar>
            <w:vAlign w:val="top"/>
          </w:tcPr>
          <w:p>
            <w:pPr>
              <w:jc w:val="center"/>
            </w:pPr>
            <w:r>
              <w:rPr>
                <w:rFonts w:ascii="Arial" w:cs="Arial" w:eastAsia="Arial" w:hAnsi="Arial"/>
                <w:b/>
                <w:bCs/>
                <w:color w:val="CC0000"/>
                <w:sz w:val="20"/>
                <w:szCs w:val="20"/>
              </w:rPr>
              <w:t xml:space="preserve">38</w:t>
            </w:r>
          </w:p>
        </w:tc>
        <w:tc>
          <w:tcPr>
            <w:tcW w:type="dxa" w:w="8640"/>
            <w:tcBorders>
              <w:top w:val="none"/>
              <w:left w:val="none"/>
              <w:bottom w:val="none"/>
              <w:right w:val="none"/>
            </w:tcBorders>
            <w:shd w:fill="FFFFFF" w:val="clear"/>
            <w:tcMar>
              <w:top w:type="dxa" w:w="80"/>
              <w:left w:type="dxa" w:w="100"/>
              <w:bottom w:type="dxa" w:w="80"/>
              <w:right w:type="dxa" w:w="100"/>
            </w:tcMar>
            <w:vAlign w:val="top"/>
          </w:tcPr>
          <w:p>
            <w:pPr>
              <w:spacing w:after="60" w:before="0"/>
            </w:pPr>
            <w:r>
              <w:rPr>
                <w:rFonts w:ascii="Arial" w:cs="Arial" w:eastAsia="Arial" w:hAnsi="Arial"/>
                <w:b/>
                <w:bCs/>
                <w:color w:val="1A1A1A"/>
                <w:sz w:val="22"/>
                <w:szCs w:val="22"/>
              </w:rPr>
              <w:t xml:space="preserve">How do I register my device?</w:t>
            </w:r>
          </w:p>
          <w:p>
            <w:pPr>
              <w:spacing w:after="80" w:before="0"/>
            </w:pPr>
            <w:r>
              <w:rPr>
                <w:rFonts w:ascii="Arial" w:cs="Arial" w:eastAsia="Arial" w:hAnsi="Arial"/>
                <w:color w:val="333333"/>
                <w:sz w:val="20"/>
                <w:szCs w:val="20"/>
              </w:rPr>
              <w:t xml:space="preserve">Device registration is optional but recommended. Register at lufalight.com/register using your order number and device serial number to ensure fastest warranty processing and to receive firmware/software updates where applicable.</w:t>
            </w:r>
          </w:p>
        </w:tc>
      </w:tr>
      <w:tr>
        <w:tc>
          <w:tcPr>
            <w:tcW w:type="dxa" w:w="720"/>
            <w:tcBorders>
              <w:top w:val="none"/>
              <w:left w:val="none"/>
              <w:bottom w:val="none"/>
              <w:right w:val="none"/>
            </w:tcBorders>
            <w:shd w:fill="F5F5F5" w:val="clear"/>
            <w:tcMar>
              <w:top w:type="dxa" w:w="80"/>
              <w:left w:type="dxa" w:w="100"/>
              <w:bottom w:type="dxa" w:w="0"/>
              <w:right w:type="dxa" w:w="60"/>
            </w:tcMar>
            <w:vAlign w:val="top"/>
          </w:tcPr>
          <w:p>
            <w:pPr>
              <w:jc w:val="center"/>
            </w:pPr>
            <w:r>
              <w:rPr>
                <w:rFonts w:ascii="Arial" w:cs="Arial" w:eastAsia="Arial" w:hAnsi="Arial"/>
                <w:b/>
                <w:bCs/>
                <w:color w:val="CC0000"/>
                <w:sz w:val="20"/>
                <w:szCs w:val="20"/>
              </w:rPr>
              <w:t xml:space="preserve">39</w:t>
            </w:r>
          </w:p>
        </w:tc>
        <w:tc>
          <w:tcPr>
            <w:tcW w:type="dxa" w:w="8640"/>
            <w:tcBorders>
              <w:top w:val="none"/>
              <w:left w:val="none"/>
              <w:bottom w:val="none"/>
              <w:right w:val="none"/>
            </w:tcBorders>
            <w:shd w:fill="F5F5F5" w:val="clear"/>
            <w:tcMar>
              <w:top w:type="dxa" w:w="80"/>
              <w:left w:type="dxa" w:w="100"/>
              <w:bottom w:type="dxa" w:w="80"/>
              <w:right w:type="dxa" w:w="100"/>
            </w:tcMar>
            <w:vAlign w:val="top"/>
          </w:tcPr>
          <w:p>
            <w:pPr>
              <w:spacing w:after="60" w:before="0"/>
            </w:pPr>
            <w:r>
              <w:rPr>
                <w:rFonts w:ascii="Arial" w:cs="Arial" w:eastAsia="Arial" w:hAnsi="Arial"/>
                <w:b/>
                <w:bCs/>
                <w:color w:val="1A1A1A"/>
                <w:sz w:val="22"/>
                <w:szCs w:val="22"/>
              </w:rPr>
              <w:t xml:space="preserve">What should I do if my device was damaged during shipping?</w:t>
            </w:r>
          </w:p>
          <w:p>
            <w:pPr>
              <w:spacing w:after="80" w:before="0"/>
            </w:pPr>
            <w:r>
              <w:rPr>
                <w:rFonts w:ascii="Arial" w:cs="Arial" w:eastAsia="Arial" w:hAnsi="Arial"/>
                <w:color w:val="333333"/>
                <w:sz w:val="20"/>
                <w:szCs w:val="20"/>
              </w:rPr>
              <w:t xml:space="preserve">Document the damage with photos immediately upon receiving the package — including the outer packaging. Contact support@lufalight.com within 48 hours. We will file a carrier claim and send a replacement at no cost to you.</w:t>
            </w:r>
          </w:p>
        </w:tc>
      </w:tr>
      <w:tr>
        <w:tc>
          <w:tcPr>
            <w:tcW w:type="dxa" w:w="720"/>
            <w:tcBorders>
              <w:top w:val="none"/>
              <w:left w:val="none"/>
              <w:bottom w:val="none"/>
              <w:right w:val="none"/>
            </w:tcBorders>
            <w:shd w:fill="FFFFFF" w:val="clear"/>
            <w:tcMar>
              <w:top w:type="dxa" w:w="80"/>
              <w:left w:type="dxa" w:w="100"/>
              <w:bottom w:type="dxa" w:w="0"/>
              <w:right w:type="dxa" w:w="60"/>
            </w:tcMar>
            <w:vAlign w:val="top"/>
          </w:tcPr>
          <w:p>
            <w:pPr>
              <w:jc w:val="center"/>
            </w:pPr>
            <w:r>
              <w:rPr>
                <w:rFonts w:ascii="Arial" w:cs="Arial" w:eastAsia="Arial" w:hAnsi="Arial"/>
                <w:b/>
                <w:bCs/>
                <w:color w:val="CC0000"/>
                <w:sz w:val="20"/>
                <w:szCs w:val="20"/>
              </w:rPr>
              <w:t xml:space="preserve">40</w:t>
            </w:r>
          </w:p>
        </w:tc>
        <w:tc>
          <w:tcPr>
            <w:tcW w:type="dxa" w:w="8640"/>
            <w:tcBorders>
              <w:top w:val="none"/>
              <w:left w:val="none"/>
              <w:bottom w:val="none"/>
              <w:right w:val="none"/>
            </w:tcBorders>
            <w:shd w:fill="FFFFFF" w:val="clear"/>
            <w:tcMar>
              <w:top w:type="dxa" w:w="80"/>
              <w:left w:type="dxa" w:w="100"/>
              <w:bottom w:type="dxa" w:w="80"/>
              <w:right w:type="dxa" w:w="100"/>
            </w:tcMar>
            <w:vAlign w:val="top"/>
          </w:tcPr>
          <w:p>
            <w:pPr>
              <w:spacing w:after="60" w:before="0"/>
            </w:pPr>
            <w:r>
              <w:rPr>
                <w:rFonts w:ascii="Arial" w:cs="Arial" w:eastAsia="Arial" w:hAnsi="Arial"/>
                <w:b/>
                <w:bCs/>
                <w:color w:val="1A1A1A"/>
                <w:sz w:val="22"/>
                <w:szCs w:val="22"/>
              </w:rPr>
              <w:t xml:space="preserve">Is there a trial period or money-back guarantee?</w:t>
            </w:r>
          </w:p>
          <w:p>
            <w:pPr>
              <w:spacing w:after="80" w:before="0"/>
            </w:pPr>
            <w:r>
              <w:rPr>
                <w:rFonts w:ascii="Arial" w:cs="Arial" w:eastAsia="Arial" w:hAnsi="Arial"/>
                <w:color w:val="333333"/>
                <w:sz w:val="20"/>
                <w:szCs w:val="20"/>
              </w:rPr>
              <w:t xml:space="preserve">Yes — our 30-Day Satisfaction Guarantee means you can try any LUFALIGHT device risk-free. If you are not happy with the results within 30 days, we will issue a full refund. See full terms on our Returns page.</w:t>
            </w:r>
          </w:p>
        </w:tc>
      </w:tr>
    </w:tbl>
    <w:p>
      <w:pPr>
        <w:spacing w:after="0" w:before="240"/>
      </w:pPr>
    </w:p>
    <w:p>
      <w:pPr>
        <w:pBdr>
          <w:bottom w:val="single" w:color="CC0000" w:sz="8" w:space="1"/>
        </w:pBdr>
        <w:spacing w:after="160" w:before="400"/>
      </w:pPr>
      <w:r>
        <w:rPr>
          <w:rFonts w:ascii="Arial" w:cs="Arial" w:eastAsia="Arial" w:hAnsi="Arial"/>
          <w:b/>
          <w:bCs/>
          <w:caps/>
          <w:color w:val="CC0000"/>
          <w:sz w:val="26"/>
          <w:szCs w:val="26"/>
        </w:rPr>
        <w:t xml:space="preserve">COMPETITOR COMPARISONS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left w:val="none"/>
              <w:bottom w:val="none"/>
              <w:right w:val="none"/>
            </w:tcBorders>
            <w:shd w:fill="F5F5F5" w:val="clear"/>
            <w:tcMar>
              <w:top w:type="dxa" w:w="80"/>
              <w:left w:type="dxa" w:w="100"/>
              <w:bottom w:type="dxa" w:w="0"/>
              <w:right w:type="dxa" w:w="60"/>
            </w:tcMar>
            <w:vAlign w:val="top"/>
          </w:tcPr>
          <w:p>
            <w:pPr>
              <w:jc w:val="center"/>
            </w:pPr>
            <w:r>
              <w:rPr>
                <w:rFonts w:ascii="Arial" w:cs="Arial" w:eastAsia="Arial" w:hAnsi="Arial"/>
                <w:b/>
                <w:bCs/>
                <w:color w:val="CC0000"/>
                <w:sz w:val="20"/>
                <w:szCs w:val="20"/>
              </w:rPr>
              <w:t xml:space="preserve">41</w:t>
            </w:r>
          </w:p>
        </w:tc>
        <w:tc>
          <w:tcPr>
            <w:tcW w:type="dxa" w:w="8640"/>
            <w:tcBorders>
              <w:top w:val="none"/>
              <w:left w:val="none"/>
              <w:bottom w:val="none"/>
              <w:right w:val="none"/>
            </w:tcBorders>
            <w:shd w:fill="F5F5F5" w:val="clear"/>
            <w:tcMar>
              <w:top w:type="dxa" w:w="80"/>
              <w:left w:type="dxa" w:w="100"/>
              <w:bottom w:type="dxa" w:w="80"/>
              <w:right w:type="dxa" w:w="100"/>
            </w:tcMar>
            <w:vAlign w:val="top"/>
          </w:tcPr>
          <w:p>
            <w:pPr>
              <w:spacing w:after="60" w:before="0"/>
            </w:pPr>
            <w:r>
              <w:rPr>
                <w:rFonts w:ascii="Arial" w:cs="Arial" w:eastAsia="Arial" w:hAnsi="Arial"/>
                <w:b/>
                <w:bCs/>
                <w:color w:val="1A1A1A"/>
                <w:sz w:val="22"/>
                <w:szCs w:val="22"/>
              </w:rPr>
              <w:t xml:space="preserve">How does LUFALIGHT compare to Joovv?</w:t>
            </w:r>
          </w:p>
          <w:p>
            <w:pPr>
              <w:spacing w:after="80" w:before="0"/>
            </w:pPr>
            <w:r>
              <w:rPr>
                <w:rFonts w:ascii="Arial" w:cs="Arial" w:eastAsia="Arial" w:hAnsi="Arial"/>
                <w:color w:val="333333"/>
                <w:sz w:val="20"/>
                <w:szCs w:val="20"/>
              </w:rPr>
              <w:t xml:space="preserve">LUFALIGHT panels offer comparable or superior irradiance and wavelength options at 20–30% lower retail price. The BK300 offers wavelengths (1060 nm NIR + dual UVB) that Joovv does not carry at any price point. All key certifications (FDA, ISO 13485, IEC 60601) are matched or exceeded.</w:t>
            </w:r>
          </w:p>
        </w:tc>
      </w:tr>
      <w:tr>
        <w:tc>
          <w:tcPr>
            <w:tcW w:type="dxa" w:w="720"/>
            <w:tcBorders>
              <w:top w:val="none"/>
              <w:left w:val="none"/>
              <w:bottom w:val="none"/>
              <w:right w:val="none"/>
            </w:tcBorders>
            <w:shd w:fill="FFFFFF" w:val="clear"/>
            <w:tcMar>
              <w:top w:type="dxa" w:w="80"/>
              <w:left w:type="dxa" w:w="100"/>
              <w:bottom w:type="dxa" w:w="0"/>
              <w:right w:type="dxa" w:w="60"/>
            </w:tcMar>
            <w:vAlign w:val="top"/>
          </w:tcPr>
          <w:p>
            <w:pPr>
              <w:jc w:val="center"/>
            </w:pPr>
            <w:r>
              <w:rPr>
                <w:rFonts w:ascii="Arial" w:cs="Arial" w:eastAsia="Arial" w:hAnsi="Arial"/>
                <w:b/>
                <w:bCs/>
                <w:color w:val="CC0000"/>
                <w:sz w:val="20"/>
                <w:szCs w:val="20"/>
              </w:rPr>
              <w:t xml:space="preserve">42</w:t>
            </w:r>
          </w:p>
        </w:tc>
        <w:tc>
          <w:tcPr>
            <w:tcW w:type="dxa" w:w="8640"/>
            <w:tcBorders>
              <w:top w:val="none"/>
              <w:left w:val="none"/>
              <w:bottom w:val="none"/>
              <w:right w:val="none"/>
            </w:tcBorders>
            <w:shd w:fill="FFFFFF" w:val="clear"/>
            <w:tcMar>
              <w:top w:type="dxa" w:w="80"/>
              <w:left w:type="dxa" w:w="100"/>
              <w:bottom w:type="dxa" w:w="80"/>
              <w:right w:type="dxa" w:w="100"/>
            </w:tcMar>
            <w:vAlign w:val="top"/>
          </w:tcPr>
          <w:p>
            <w:pPr>
              <w:spacing w:after="60" w:before="0"/>
            </w:pPr>
            <w:r>
              <w:rPr>
                <w:rFonts w:ascii="Arial" w:cs="Arial" w:eastAsia="Arial" w:hAnsi="Arial"/>
                <w:b/>
                <w:bCs/>
                <w:color w:val="1A1A1A"/>
                <w:sz w:val="22"/>
                <w:szCs w:val="22"/>
              </w:rPr>
              <w:t xml:space="preserve">How does LUFALIGHT compare to Mito Red Light?</w:t>
            </w:r>
          </w:p>
          <w:p>
            <w:pPr>
              <w:spacing w:after="80" w:before="0"/>
            </w:pPr>
            <w:r>
              <w:rPr>
                <w:rFonts w:ascii="Arial" w:cs="Arial" w:eastAsia="Arial" w:hAnsi="Arial"/>
                <w:color w:val="333333"/>
                <w:sz w:val="20"/>
                <w:szCs w:val="20"/>
              </w:rPr>
              <w:t xml:space="preserve">Mito Red Light is a well-regarded US brand. LUFALIGHT matches their core specs and certifications while offering unique differentiators: the exclusive 1060 nm Ultra-Deep NIR wavelength and the only dual-certified UVB therapy option (BK300). Pricing is competitive.</w:t>
            </w:r>
          </w:p>
        </w:tc>
      </w:tr>
      <w:tr>
        <w:tc>
          <w:tcPr>
            <w:tcW w:type="dxa" w:w="720"/>
            <w:tcBorders>
              <w:top w:val="none"/>
              <w:left w:val="none"/>
              <w:bottom w:val="none"/>
              <w:right w:val="none"/>
            </w:tcBorders>
            <w:shd w:fill="F5F5F5" w:val="clear"/>
            <w:tcMar>
              <w:top w:type="dxa" w:w="80"/>
              <w:left w:type="dxa" w:w="100"/>
              <w:bottom w:type="dxa" w:w="0"/>
              <w:right w:type="dxa" w:w="60"/>
            </w:tcMar>
            <w:vAlign w:val="top"/>
          </w:tcPr>
          <w:p>
            <w:pPr>
              <w:jc w:val="center"/>
            </w:pPr>
            <w:r>
              <w:rPr>
                <w:rFonts w:ascii="Arial" w:cs="Arial" w:eastAsia="Arial" w:hAnsi="Arial"/>
                <w:b/>
                <w:bCs/>
                <w:color w:val="CC0000"/>
                <w:sz w:val="20"/>
                <w:szCs w:val="20"/>
              </w:rPr>
              <w:t xml:space="preserve">43</w:t>
            </w:r>
          </w:p>
        </w:tc>
        <w:tc>
          <w:tcPr>
            <w:tcW w:type="dxa" w:w="8640"/>
            <w:tcBorders>
              <w:top w:val="none"/>
              <w:left w:val="none"/>
              <w:bottom w:val="none"/>
              <w:right w:val="none"/>
            </w:tcBorders>
            <w:shd w:fill="F5F5F5" w:val="clear"/>
            <w:tcMar>
              <w:top w:type="dxa" w:w="80"/>
              <w:left w:type="dxa" w:w="100"/>
              <w:bottom w:type="dxa" w:w="80"/>
              <w:right w:type="dxa" w:w="100"/>
            </w:tcMar>
            <w:vAlign w:val="top"/>
          </w:tcPr>
          <w:p>
            <w:pPr>
              <w:spacing w:after="60" w:before="0"/>
            </w:pPr>
            <w:r>
              <w:rPr>
                <w:rFonts w:ascii="Arial" w:cs="Arial" w:eastAsia="Arial" w:hAnsi="Arial"/>
                <w:b/>
                <w:bCs/>
                <w:color w:val="1A1A1A"/>
                <w:sz w:val="22"/>
                <w:szCs w:val="22"/>
              </w:rPr>
              <w:t xml:space="preserve">How does LUFALIGHT compare to PlatinumLED BioMax?</w:t>
            </w:r>
          </w:p>
          <w:p>
            <w:pPr>
              <w:spacing w:after="80" w:before="0"/>
            </w:pPr>
            <w:r>
              <w:rPr>
                <w:rFonts w:ascii="Arial" w:cs="Arial" w:eastAsia="Arial" w:hAnsi="Arial"/>
                <w:color w:val="333333"/>
                <w:sz w:val="20"/>
                <w:szCs w:val="20"/>
              </w:rPr>
              <w:t xml:space="preserve">PlatinumLED BioMax focuses on multi-wavelength panels. LUFALIGHT's BK300 exceeds the BioMax feature set by adding dual UVB therapy and 1060 nm NIR — features the BioMax line does not offer — at a competitive price point.</w:t>
            </w:r>
          </w:p>
        </w:tc>
      </w:tr>
      <w:tr>
        <w:tc>
          <w:tcPr>
            <w:tcW w:type="dxa" w:w="720"/>
            <w:tcBorders>
              <w:top w:val="none"/>
              <w:left w:val="none"/>
              <w:bottom w:val="none"/>
              <w:right w:val="none"/>
            </w:tcBorders>
            <w:shd w:fill="FFFFFF" w:val="clear"/>
            <w:tcMar>
              <w:top w:type="dxa" w:w="80"/>
              <w:left w:type="dxa" w:w="100"/>
              <w:bottom w:type="dxa" w:w="0"/>
              <w:right w:type="dxa" w:w="60"/>
            </w:tcMar>
            <w:vAlign w:val="top"/>
          </w:tcPr>
          <w:p>
            <w:pPr>
              <w:jc w:val="center"/>
            </w:pPr>
            <w:r>
              <w:rPr>
                <w:rFonts w:ascii="Arial" w:cs="Arial" w:eastAsia="Arial" w:hAnsi="Arial"/>
                <w:b/>
                <w:bCs/>
                <w:color w:val="CC0000"/>
                <w:sz w:val="20"/>
                <w:szCs w:val="20"/>
              </w:rPr>
              <w:t xml:space="preserve">44</w:t>
            </w:r>
          </w:p>
        </w:tc>
        <w:tc>
          <w:tcPr>
            <w:tcW w:type="dxa" w:w="8640"/>
            <w:tcBorders>
              <w:top w:val="none"/>
              <w:left w:val="none"/>
              <w:bottom w:val="none"/>
              <w:right w:val="none"/>
            </w:tcBorders>
            <w:shd w:fill="FFFFFF" w:val="clear"/>
            <w:tcMar>
              <w:top w:type="dxa" w:w="80"/>
              <w:left w:type="dxa" w:w="100"/>
              <w:bottom w:type="dxa" w:w="80"/>
              <w:right w:type="dxa" w:w="100"/>
            </w:tcMar>
            <w:vAlign w:val="top"/>
          </w:tcPr>
          <w:p>
            <w:pPr>
              <w:spacing w:after="60" w:before="0"/>
            </w:pPr>
            <w:r>
              <w:rPr>
                <w:rFonts w:ascii="Arial" w:cs="Arial" w:eastAsia="Arial" w:hAnsi="Arial"/>
                <w:b/>
                <w:bCs/>
                <w:color w:val="1A1A1A"/>
                <w:sz w:val="22"/>
                <w:szCs w:val="22"/>
              </w:rPr>
              <w:t xml:space="preserve">How does LUFALIGHT compare to Omnilux?</w:t>
            </w:r>
          </w:p>
          <w:p>
            <w:pPr>
              <w:spacing w:after="80" w:before="0"/>
            </w:pPr>
            <w:r>
              <w:rPr>
                <w:rFonts w:ascii="Arial" w:cs="Arial" w:eastAsia="Arial" w:hAnsi="Arial"/>
                <w:color w:val="333333"/>
                <w:sz w:val="20"/>
                <w:szCs w:val="20"/>
              </w:rPr>
              <w:t xml:space="preserve">Omnilux specializes in FDA-cleared LED masks for dermatology. LUFALIGHT's ClearGlow line is a comparable facial device at a significantly lower price point, with the added flexibility of dual Red+NIR wavelengths versus Omnilux's single-modality approach.</w:t>
            </w:r>
          </w:p>
        </w:tc>
      </w:tr>
      <w:tr>
        <w:tc>
          <w:tcPr>
            <w:tcW w:type="dxa" w:w="720"/>
            <w:tcBorders>
              <w:top w:val="none"/>
              <w:left w:val="none"/>
              <w:bottom w:val="none"/>
              <w:right w:val="none"/>
            </w:tcBorders>
            <w:shd w:fill="F5F5F5" w:val="clear"/>
            <w:tcMar>
              <w:top w:type="dxa" w:w="80"/>
              <w:left w:type="dxa" w:w="100"/>
              <w:bottom w:type="dxa" w:w="0"/>
              <w:right w:type="dxa" w:w="60"/>
            </w:tcMar>
            <w:vAlign w:val="top"/>
          </w:tcPr>
          <w:p>
            <w:pPr>
              <w:jc w:val="center"/>
            </w:pPr>
            <w:r>
              <w:rPr>
                <w:rFonts w:ascii="Arial" w:cs="Arial" w:eastAsia="Arial" w:hAnsi="Arial"/>
                <w:b/>
                <w:bCs/>
                <w:color w:val="CC0000"/>
                <w:sz w:val="20"/>
                <w:szCs w:val="20"/>
              </w:rPr>
              <w:t xml:space="preserve">45</w:t>
            </w:r>
          </w:p>
        </w:tc>
        <w:tc>
          <w:tcPr>
            <w:tcW w:type="dxa" w:w="8640"/>
            <w:tcBorders>
              <w:top w:val="none"/>
              <w:left w:val="none"/>
              <w:bottom w:val="none"/>
              <w:right w:val="none"/>
            </w:tcBorders>
            <w:shd w:fill="F5F5F5" w:val="clear"/>
            <w:tcMar>
              <w:top w:type="dxa" w:w="80"/>
              <w:left w:type="dxa" w:w="100"/>
              <w:bottom w:type="dxa" w:w="80"/>
              <w:right w:type="dxa" w:w="100"/>
            </w:tcMar>
            <w:vAlign w:val="top"/>
          </w:tcPr>
          <w:p>
            <w:pPr>
              <w:spacing w:after="60" w:before="0"/>
            </w:pPr>
            <w:r>
              <w:rPr>
                <w:rFonts w:ascii="Arial" w:cs="Arial" w:eastAsia="Arial" w:hAnsi="Arial"/>
                <w:b/>
                <w:bCs/>
                <w:color w:val="1A1A1A"/>
                <w:sz w:val="22"/>
                <w:szCs w:val="22"/>
              </w:rPr>
              <w:t xml:space="preserve">How does LUFALIGHT compare to iRestore for hair growth?</w:t>
            </w:r>
          </w:p>
          <w:p>
            <w:pPr>
              <w:spacing w:after="80" w:before="0"/>
            </w:pPr>
            <w:r>
              <w:rPr>
                <w:rFonts w:ascii="Arial" w:cs="Arial" w:eastAsia="Arial" w:hAnsi="Arial"/>
                <w:color w:val="333333"/>
                <w:sz w:val="20"/>
                <w:szCs w:val="20"/>
              </w:rPr>
              <w:t xml:space="preserve">iRestore is a popular FDA-cleared laser hair growth helmet. Our HGrowCap Pro (C01) uses both laser and LED technology at a competitive price, with a full 2-year warranty. Consult our comparison page for a detailed spec breakdown.</w:t>
            </w:r>
          </w:p>
        </w:tc>
      </w:tr>
      <w:tr>
        <w:tc>
          <w:tcPr>
            <w:tcW w:type="dxa" w:w="720"/>
            <w:tcBorders>
              <w:top w:val="none"/>
              <w:left w:val="none"/>
              <w:bottom w:val="none"/>
              <w:right w:val="none"/>
            </w:tcBorders>
            <w:shd w:fill="FFFFFF" w:val="clear"/>
            <w:tcMar>
              <w:top w:type="dxa" w:w="80"/>
              <w:left w:type="dxa" w:w="100"/>
              <w:bottom w:type="dxa" w:w="0"/>
              <w:right w:type="dxa" w:w="60"/>
            </w:tcMar>
            <w:vAlign w:val="top"/>
          </w:tcPr>
          <w:p>
            <w:pPr>
              <w:jc w:val="center"/>
            </w:pPr>
            <w:r>
              <w:rPr>
                <w:rFonts w:ascii="Arial" w:cs="Arial" w:eastAsia="Arial" w:hAnsi="Arial"/>
                <w:b/>
                <w:bCs/>
                <w:color w:val="CC0000"/>
                <w:sz w:val="20"/>
                <w:szCs w:val="20"/>
              </w:rPr>
              <w:t xml:space="preserve">46</w:t>
            </w:r>
          </w:p>
        </w:tc>
        <w:tc>
          <w:tcPr>
            <w:tcW w:type="dxa" w:w="8640"/>
            <w:tcBorders>
              <w:top w:val="none"/>
              <w:left w:val="none"/>
              <w:bottom w:val="none"/>
              <w:right w:val="none"/>
            </w:tcBorders>
            <w:shd w:fill="FFFFFF" w:val="clear"/>
            <w:tcMar>
              <w:top w:type="dxa" w:w="80"/>
              <w:left w:type="dxa" w:w="100"/>
              <w:bottom w:type="dxa" w:w="80"/>
              <w:right w:type="dxa" w:w="100"/>
            </w:tcMar>
            <w:vAlign w:val="top"/>
          </w:tcPr>
          <w:p>
            <w:pPr>
              <w:spacing w:after="60" w:before="0"/>
            </w:pPr>
            <w:r>
              <w:rPr>
                <w:rFonts w:ascii="Arial" w:cs="Arial" w:eastAsia="Arial" w:hAnsi="Arial"/>
                <w:b/>
                <w:bCs/>
                <w:color w:val="1A1A1A"/>
                <w:sz w:val="22"/>
                <w:szCs w:val="22"/>
              </w:rPr>
              <w:t xml:space="preserve">Why should I buy from LUFALIGHT instead of Amazon?</w:t>
            </w:r>
          </w:p>
          <w:p>
            <w:pPr>
              <w:spacing w:after="80" w:before="0"/>
            </w:pPr>
            <w:r>
              <w:rPr>
                <w:rFonts w:ascii="Arial" w:cs="Arial" w:eastAsia="Arial" w:hAnsi="Arial"/>
                <w:color w:val="333333"/>
                <w:sz w:val="20"/>
                <w:szCs w:val="20"/>
              </w:rPr>
              <w:t xml:space="preserve">Purchasing directly from lufalight.com guarantees you receive genuine, warranty-covered products with full 2-Year Warranty protection, direct manufacturer support, and certified authenticity. Third-party Amazon sellers may sell grey-market or counterfeit units without warranty coverage.</w:t>
            </w:r>
          </w:p>
        </w:tc>
      </w:tr>
      <w:tr>
        <w:tc>
          <w:tcPr>
            <w:tcW w:type="dxa" w:w="720"/>
            <w:tcBorders>
              <w:top w:val="none"/>
              <w:left w:val="none"/>
              <w:bottom w:val="none"/>
              <w:right w:val="none"/>
            </w:tcBorders>
            <w:shd w:fill="F5F5F5" w:val="clear"/>
            <w:tcMar>
              <w:top w:type="dxa" w:w="80"/>
              <w:left w:type="dxa" w:w="100"/>
              <w:bottom w:type="dxa" w:w="0"/>
              <w:right w:type="dxa" w:w="60"/>
            </w:tcMar>
            <w:vAlign w:val="top"/>
          </w:tcPr>
          <w:p>
            <w:pPr>
              <w:jc w:val="center"/>
            </w:pPr>
            <w:r>
              <w:rPr>
                <w:rFonts w:ascii="Arial" w:cs="Arial" w:eastAsia="Arial" w:hAnsi="Arial"/>
                <w:b/>
                <w:bCs/>
                <w:color w:val="CC0000"/>
                <w:sz w:val="20"/>
                <w:szCs w:val="20"/>
              </w:rPr>
              <w:t xml:space="preserve">47</w:t>
            </w:r>
          </w:p>
        </w:tc>
        <w:tc>
          <w:tcPr>
            <w:tcW w:type="dxa" w:w="8640"/>
            <w:tcBorders>
              <w:top w:val="none"/>
              <w:left w:val="none"/>
              <w:bottom w:val="none"/>
              <w:right w:val="none"/>
            </w:tcBorders>
            <w:shd w:fill="F5F5F5" w:val="clear"/>
            <w:tcMar>
              <w:top w:type="dxa" w:w="80"/>
              <w:left w:type="dxa" w:w="100"/>
              <w:bottom w:type="dxa" w:w="80"/>
              <w:right w:type="dxa" w:w="100"/>
            </w:tcMar>
            <w:vAlign w:val="top"/>
          </w:tcPr>
          <w:p>
            <w:pPr>
              <w:spacing w:after="60" w:before="0"/>
            </w:pPr>
            <w:r>
              <w:rPr>
                <w:rFonts w:ascii="Arial" w:cs="Arial" w:eastAsia="Arial" w:hAnsi="Arial"/>
                <w:b/>
                <w:bCs/>
                <w:color w:val="1A1A1A"/>
                <w:sz w:val="22"/>
                <w:szCs w:val="22"/>
              </w:rPr>
              <w:t xml:space="preserve">Are LUFALIGHT devices made in Canada?</w:t>
            </w:r>
          </w:p>
          <w:p>
            <w:pPr>
              <w:spacing w:after="80" w:before="0"/>
            </w:pPr>
            <w:r>
              <w:rPr>
                <w:rFonts w:ascii="Arial" w:cs="Arial" w:eastAsia="Arial" w:hAnsi="Arial"/>
                <w:color w:val="333333"/>
                <w:sz w:val="20"/>
                <w:szCs w:val="20"/>
              </w:rPr>
              <w:t xml:space="preserve">LUFALIGHT is a Canadian brand headquartered in Canada. Our devices are manufactured to ISO 13485 and IEC 60601 medical-grade standards. For full transparency, product specifications and certifications are available on each product page.</w:t>
            </w:r>
          </w:p>
        </w:tc>
      </w:tr>
    </w:tbl>
    <w:p>
      <w:pPr>
        <w:spacing w:after="0" w:before="240"/>
      </w:pPr>
    </w:p>
    <w:p>
      <w:pPr>
        <w:pBdr>
          <w:top w:val="single" w:color="CC0000" w:sz="6" w:space="4"/>
        </w:pBdr>
        <w:spacing w:after="80" w:before="400"/>
      </w:pPr>
      <w:r>
        <w:rPr>
          <w:rFonts w:ascii="Arial" w:cs="Arial" w:eastAsia="Arial" w:hAnsi="Arial"/>
          <w:b/>
          <w:bCs/>
          <w:color w:val="CC0000"/>
          <w:sz w:val="18"/>
          <w:szCs w:val="18"/>
        </w:rPr>
        <w:t xml:space="preserve">Note for AI Training: </w:t>
      </w:r>
      <w:r>
        <w:rPr>
          <w:rFonts w:ascii="Arial" w:cs="Arial" w:eastAsia="Arial" w:hAnsi="Arial"/>
          <w:i/>
          <w:iCs/>
          <w:color w:val="666666"/>
          <w:sz w:val="18"/>
          <w:szCs w:val="18"/>
        </w:rPr>
        <w:t xml:space="preserve">This document is intended as the knowledge base for LUFALIGHT's AI chatbot. Answers should be delivered in a warm, confident, expert tone. Do not reference manufacturer names, internal pricing codes, or promotional campaigns. Always recommend consulting a physician for health-related decisions. Warranty maximum is 2 years.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972A" w:sz="4" w:space="1"/>
      </w:pBdr>
      <w:spacing w:after="0" w:before="100"/>
      <w:jc w:val="center"/>
    </w:pPr>
    <w:r>
      <w:rPr>
        <w:rFonts w:ascii="Arial" w:cs="Arial" w:eastAsia="Arial" w:hAnsi="Arial"/>
        <w:color w:val="666666"/>
        <w:sz w:val="16"/>
        <w:szCs w:val="16"/>
      </w:rPr>
      <w:t xml:space="preserve">lufalight.com  |  support@lufalight.com  |  Revive. Restore. Radiate.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972A" w:sz="4" w:space="1"/>
      </w:pBdr>
      <w:spacing w:after="120" w:before="0"/>
      <w:jc w:val="right"/>
    </w:pPr>
    <w:r>
      <w:rPr>
        <w:rFonts w:ascii="Arial" w:cs="Arial" w:eastAsia="Arial" w:hAnsi="Arial"/>
        <w:color w:val="666666"/>
        <w:sz w:val="16"/>
        <w:szCs w:val="16"/>
      </w:rPr>
      <w:t xml:space="preserve">LUFALIGHT  |  AI Chatbot FAQ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2026-06-17T11:30:18.550Z</dcterms:created>
  <dcterms:modified xsi:type="dcterms:W3CDTF">2026-06-17T11:30:18.550Z</dcterms:modified>
</cp:coreProperties>
</file>

<file path=docProps/custom.xml><?xml version="1.0" encoding="utf-8"?>
<Properties xmlns="http://schemas.openxmlformats.org/officeDocument/2006/custom-properties" xmlns:vt="http://schemas.openxmlformats.org/officeDocument/2006/docPropsVTypes"/>
</file>