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LUFA</w:t>
      </w:r>
      <w:r>
        <w:rPr>
          <w:b/>
          <w:bCs/>
          <w:color w:val="E82D2D"/>
          <w:sz w:val="44"/>
          <w:szCs w:val="44"/>
        </w:rPr>
        <w:t xml:space="preserve">LIGHT</w:t>
      </w:r>
    </w:p>
    <w:p>
      <w:pPr>
        <w:spacing w:after="60"/>
      </w:pPr>
      <w:r>
        <w:rPr>
          <w:b/>
          <w:bCs/>
          <w:color w:val="1A1A1A"/>
          <w:sz w:val="30"/>
          <w:szCs w:val="30"/>
        </w:rPr>
        <w:t xml:space="preserve">Shipping &amp; Returns Policy</w:t>
      </w:r>
    </w:p>
    <w:p>
      <w:pPr>
        <w:spacing w:after="40"/>
      </w:pPr>
      <w:r>
        <w:rPr>
          <w:color w:val="666666"/>
          <w:sz w:val="18"/>
          <w:szCs w:val="18"/>
        </w:rPr>
        <w:t xml:space="preserve">Red &amp; Near-Infrared Light Therapy Devices  ·  Canada &amp; USA</w:t>
      </w:r>
    </w:p>
    <w:p>
      <w:pPr>
        <w:pBdr>
          <w:bottom w:val="single" w:color="E82D2D" w:sz="10" w:space="8"/>
        </w:pBdr>
        <w:spacing w:after="260"/>
      </w:pPr>
      <w:r>
        <w:rPr>
          <w:i/>
          <w:iCs/>
          <w:color w:val="666666"/>
          <w:sz w:val="18"/>
          <w:szCs w:val="18"/>
        </w:rPr>
        <w:t xml:space="preserve">Last updated: June 2026</w:t>
      </w:r>
    </w:p>
    <w:p>
      <w:pPr>
        <w:spacing w:after="140" w:line="276"/>
      </w:pPr>
      <w:r>
        <w:rPr>
          <w:b/>
          <w:bCs/>
        </w:rPr>
        <w:t xml:space="preserve">60-Day Money-Back Guarantee — </w:t>
      </w:r>
      <w:r>
        <w:t xml:space="preserve">Try any Lufalight device for 60 days. If it’s not right for you, send it back for a full refund of the purchase price.</w:t>
      </w:r>
    </w:p>
    <w:p>
      <w:pPr>
        <w:spacing w:after="140" w:line="276"/>
      </w:pPr>
      <w:r>
        <w:rPr>
          <w:b/>
          <w:bCs/>
        </w:rPr>
        <w:t xml:space="preserve">Free Shipping to Canada &amp; the USA — </w:t>
      </w:r>
      <w:r>
        <w:t xml:space="preserve">No minimum order. Tracking provided on every order.</w:t>
      </w:r>
    </w:p>
    <w:p>
      <w:pPr>
        <w:spacing w:after="140" w:line="276"/>
      </w:pPr>
      <w:r>
        <w:rPr>
          <w:b/>
          <w:bCs/>
        </w:rPr>
        <w:t xml:space="preserve">1–3 Year Warranty — </w:t>
      </w:r>
      <w:r>
        <w:t xml:space="preserve">Manufacturing defects covered for the full warranty period — return shipping on us.</w:t>
      </w:r>
    </w:p>
    <w:p>
      <w:pPr>
        <w:pStyle w:val="Heading1"/>
      </w:pPr>
      <w:r>
        <w:t xml:space="preserve">Shipping — Canada &amp; the USA</w:t>
      </w:r>
    </w:p>
    <w:p>
      <w:pPr>
        <w:spacing w:after="140" w:line="276"/>
      </w:pPr>
      <w:r>
        <w:rPr>
          <w:b/>
          <w:bCs/>
        </w:rPr>
        <w:t xml:space="preserve">Free standard shipping</w:t>
      </w:r>
      <w:r>
        <w:t xml:space="preserve"> on all orders to Canada and the United States. No minimum order value required.</w:t>
      </w:r>
    </w:p>
    <w:p>
      <w:pPr>
        <w:pStyle w:val="ListParagraph"/>
        <w:numPr>
          <w:ilvl w:val="0"/>
          <w:numId w:val="2"/>
        </w:numPr>
        <w:spacing w:after="70" w:line="270"/>
      </w:pPr>
      <w:r>
        <w:rPr>
          <w:b/>
          <w:bCs/>
        </w:rPr>
        <w:t xml:space="preserve">Processing time: </w:t>
      </w:r>
      <w:r>
        <w:t xml:space="preserve">1–2 business days before your order ships from our warehouse.</w:t>
      </w:r>
    </w:p>
    <w:p>
      <w:pPr>
        <w:pStyle w:val="ListParagraph"/>
        <w:numPr>
          <w:ilvl w:val="0"/>
          <w:numId w:val="2"/>
        </w:numPr>
        <w:spacing w:after="70" w:line="270"/>
      </w:pPr>
      <w:r>
        <w:rPr>
          <w:b/>
          <w:bCs/>
        </w:rPr>
        <w:t xml:space="preserve">Delivery time: </w:t>
      </w:r>
      <w:r>
        <w:t xml:space="preserve">7–14 business days for most provinces and states. Remote areas may take an additional 3–5 business days.</w:t>
      </w:r>
    </w:p>
    <w:p>
      <w:pPr>
        <w:pStyle w:val="ListParagraph"/>
        <w:numPr>
          <w:ilvl w:val="0"/>
          <w:numId w:val="2"/>
        </w:numPr>
        <w:spacing w:after="70" w:line="270"/>
      </w:pPr>
      <w:r>
        <w:rPr>
          <w:b/>
          <w:bCs/>
        </w:rPr>
        <w:t xml:space="preserve">Tracking: </w:t>
      </w:r>
      <w:r>
        <w:t xml:space="preserve">A tracking number is emailed to you as soon as your order ships, so you can follow it from door to door.</w:t>
      </w:r>
    </w:p>
    <w:p>
      <w:pPr>
        <w:pStyle w:val="ListParagraph"/>
        <w:numPr>
          <w:ilvl w:val="0"/>
          <w:numId w:val="2"/>
        </w:numPr>
        <w:spacing w:after="70" w:line="270"/>
      </w:pPr>
      <w:r>
        <w:rPr>
          <w:b/>
          <w:bCs/>
        </w:rPr>
        <w:t xml:space="preserve">Customs &amp; duties: </w:t>
      </w:r>
      <w:r>
        <w:t xml:space="preserve">All listed prices are final — Lufalight covers any applicable duties or import fees on Canada &amp; USA orders.</w:t>
      </w:r>
    </w:p>
    <w:p>
      <w:pPr>
        <w:pStyle w:val="Heading1"/>
      </w:pPr>
      <w:r>
        <w:t xml:space="preserve">Our 60-Day Money-Back Guarantee</w:t>
      </w:r>
    </w:p>
    <w:p>
      <w:pPr>
        <w:spacing w:after="140" w:line="276"/>
      </w:pPr>
      <w:r>
        <w:t xml:space="preserve">We want you to feel confident choosing red light therapy. That’s why every Lufalight device is backed by a </w:t>
      </w:r>
      <w:r>
        <w:rPr>
          <w:b/>
          <w:bCs/>
        </w:rPr>
        <w:t xml:space="preserve">60-day money-back guarantee</w:t>
      </w:r>
      <w:r>
        <w:t xml:space="preserve">. If you’re not completely satisfied for any reason, you may return your device within </w:t>
      </w:r>
      <w:r>
        <w:rPr>
          <w:b/>
          <w:bCs/>
        </w:rPr>
        <w:t xml:space="preserve">60 days of the delivery date</w:t>
      </w:r>
      <w:r>
        <w:t xml:space="preserve"> for a full refund of the purchase price — no restocking fee, ever.</w:t>
      </w:r>
    </w:p>
    <w:p>
      <w:pPr>
        <w:pStyle w:val="Heading1"/>
      </w:pPr>
      <w:r>
        <w:t xml:space="preserve">Return Eligibility</w:t>
      </w:r>
    </w:p>
    <w:p>
      <w:pPr>
        <w:spacing w:after="140" w:line="276"/>
      </w:pPr>
      <w:r>
        <w:t xml:space="preserve">To qualify for a money-back refund, your return must meet the following conditions:</w:t>
      </w:r>
    </w:p>
    <w:p>
      <w:pPr>
        <w:pStyle w:val="ListParagraph"/>
        <w:numPr>
          <w:ilvl w:val="0"/>
          <w:numId w:val="2"/>
        </w:numPr>
        <w:spacing w:after="70" w:line="270"/>
      </w:pPr>
      <w:r>
        <w:t xml:space="preserve">The return is requested within </w:t>
      </w:r>
      <w:r>
        <w:rPr>
          <w:b/>
          <w:bCs/>
        </w:rPr>
        <w:t xml:space="preserve">60 days of delivery</w:t>
      </w:r>
      <w:r>
        <w:t xml:space="preserve"> and shipped back within </w:t>
      </w:r>
      <w:r>
        <w:rPr>
          <w:b/>
          <w:bCs/>
        </w:rPr>
        <w:t xml:space="preserve">14 days</w:t>
      </w:r>
      <w:r>
        <w:t xml:space="preserve"> of receiving your return authorization.</w:t>
      </w:r>
    </w:p>
    <w:p>
      <w:pPr>
        <w:pStyle w:val="ListParagraph"/>
        <w:numPr>
          <w:ilvl w:val="0"/>
          <w:numId w:val="2"/>
        </w:numPr>
        <w:spacing w:after="70" w:line="270"/>
      </w:pPr>
      <w:r>
        <w:t xml:space="preserve">The device is in </w:t>
      </w:r>
      <w:r>
        <w:rPr>
          <w:b/>
          <w:bCs/>
        </w:rPr>
        <w:t xml:space="preserve">like-new, fully functional condition</w:t>
      </w:r>
      <w:r>
        <w:t xml:space="preserve"> — clean and free of damage beyond normal trial use.</w:t>
      </w:r>
    </w:p>
    <w:p>
      <w:pPr>
        <w:pStyle w:val="ListParagraph"/>
        <w:numPr>
          <w:ilvl w:val="0"/>
          <w:numId w:val="2"/>
        </w:numPr>
        <w:spacing w:after="70" w:line="270"/>
      </w:pPr>
      <w:r>
        <w:t xml:space="preserve">It is returned in the </w:t>
      </w:r>
      <w:r>
        <w:rPr>
          <w:b/>
          <w:bCs/>
        </w:rPr>
        <w:t xml:space="preserve">original packaging</w:t>
      </w:r>
      <w:r>
        <w:t xml:space="preserve"> with </w:t>
      </w:r>
      <w:r>
        <w:rPr>
          <w:b/>
          <w:bCs/>
        </w:rPr>
        <w:t xml:space="preserve">all accessories, cables, manuals, and free gifts</w:t>
      </w:r>
      <w:r>
        <w:t xml:space="preserve"> included.</w:t>
      </w:r>
    </w:p>
    <w:p>
      <w:pPr>
        <w:pStyle w:val="ListParagraph"/>
        <w:numPr>
          <w:ilvl w:val="0"/>
          <w:numId w:val="2"/>
        </w:numPr>
        <w:spacing w:after="70" w:line="270"/>
      </w:pPr>
      <w:r>
        <w:t xml:space="preserve">You have a valid </w:t>
      </w:r>
      <w:r>
        <w:rPr>
          <w:b/>
          <w:bCs/>
        </w:rPr>
        <w:t xml:space="preserve">proof of purchase</w:t>
      </w:r>
      <w:r>
        <w:t xml:space="preserve"> (order number or receipt).</w:t>
      </w:r>
    </w:p>
    <w:p>
      <w:pPr>
        <w:spacing w:after="140" w:line="276"/>
      </w:pPr>
      <w:r>
        <w:t xml:space="preserve">Returns that arrive with missing accessories, significant wear, or damage caused by misuse may be refused or issued a partial refund reflecting the missing or damaged items.</w:t>
      </w:r>
    </w:p>
    <w:p>
      <w:pPr>
        <w:pStyle w:val="Heading1"/>
      </w:pPr>
      <w:r>
        <w:t xml:space="preserve">How to Start a Return</w:t>
      </w:r>
    </w:p>
    <w:p>
      <w:pPr>
        <w:pStyle w:val="ListParagraph"/>
        <w:numPr>
          <w:ilvl w:val="0"/>
          <w:numId w:val="3"/>
        </w:numPr>
        <w:spacing w:after="80" w:line="270"/>
      </w:pPr>
      <w:r>
        <w:rPr>
          <w:b/>
          <w:bCs/>
        </w:rPr>
        <w:t xml:space="preserve">Contact us</w:t>
      </w:r>
      <w:r>
        <w:t xml:space="preserve"> at support@lufalight.com (or +1 800-LUFA-LIT) with your order number and the reason for your return.</w:t>
      </w:r>
    </w:p>
    <w:p>
      <w:pPr>
        <w:pStyle w:val="ListParagraph"/>
        <w:numPr>
          <w:ilvl w:val="0"/>
          <w:numId w:val="3"/>
        </w:numPr>
        <w:spacing w:after="80" w:line="270"/>
      </w:pPr>
      <w:r>
        <w:t xml:space="preserve">We’ll reply within </w:t>
      </w:r>
      <w:r>
        <w:rPr>
          <w:b/>
          <w:bCs/>
        </w:rPr>
        <w:t xml:space="preserve">1–2 business days</w:t>
      </w:r>
      <w:r>
        <w:t xml:space="preserve"> with a </w:t>
      </w:r>
      <w:r>
        <w:rPr>
          <w:b/>
          <w:bCs/>
        </w:rPr>
        <w:t xml:space="preserve">Return Authorization (RA) number</w:t>
      </w:r>
      <w:r>
        <w:t xml:space="preserve"> and the return address. Please do not ship anything back before receiving your RA number — unauthorized returns may not be processed.</w:t>
      </w:r>
    </w:p>
    <w:p>
      <w:pPr>
        <w:pStyle w:val="ListParagraph"/>
        <w:numPr>
          <w:ilvl w:val="0"/>
          <w:numId w:val="3"/>
        </w:numPr>
        <w:spacing w:after="80" w:line="270"/>
      </w:pPr>
      <w:r>
        <w:rPr>
          <w:b/>
          <w:bCs/>
        </w:rPr>
        <w:t xml:space="preserve">Pack the device securely</w:t>
      </w:r>
      <w:r>
        <w:t xml:space="preserve"> in its original packaging with all accessories, and write your RA number clearly on the outside of the box.</w:t>
      </w:r>
    </w:p>
    <w:p>
      <w:pPr>
        <w:pStyle w:val="ListParagraph"/>
        <w:numPr>
          <w:ilvl w:val="0"/>
          <w:numId w:val="3"/>
        </w:numPr>
        <w:spacing w:after="80" w:line="270"/>
      </w:pPr>
      <w:r>
        <w:t xml:space="preserve">Ship it back using a </w:t>
      </w:r>
      <w:r>
        <w:rPr>
          <w:b/>
          <w:bCs/>
        </w:rPr>
        <w:t xml:space="preserve">trackable, insured</w:t>
      </w:r>
      <w:r>
        <w:t xml:space="preserve"> shipping method within 14 days.</w:t>
      </w:r>
    </w:p>
    <w:p>
      <w:pPr>
        <w:pStyle w:val="ListParagraph"/>
        <w:numPr>
          <w:ilvl w:val="0"/>
          <w:numId w:val="3"/>
        </w:numPr>
        <w:spacing w:after="80" w:line="270"/>
      </w:pPr>
      <w:r>
        <w:t xml:space="preserve">Once we receive and inspect your return, we’ll process your refund.</w:t>
      </w:r>
    </w:p>
    <w:p>
      <w:pPr>
        <w:pStyle w:val="Heading1"/>
      </w:pPr>
      <w:r>
        <w:t xml:space="preserve">Return Shipping Costs</w:t>
      </w:r>
    </w:p>
    <w:p>
      <w:pPr>
        <w:spacing w:after="140" w:line="276"/>
      </w:pPr>
      <w:r>
        <w:t xml:space="preserve">For </w:t>
      </w:r>
      <w:r>
        <w:rPr>
          <w:b/>
          <w:bCs/>
        </w:rPr>
        <w:t xml:space="preserve">change-of-mind returns</w:t>
      </w:r>
      <w:r>
        <w:t xml:space="preserve"> under the money-back guarantee, you are responsible for arranging and paying the return shipping. We recommend a trackable, insured service, as Lufalight cannot be responsible for returns lost or damaged in transit.</w:t>
      </w:r>
    </w:p>
    <w:p>
      <w:pPr>
        <w:spacing w:after="140" w:line="276"/>
      </w:pPr>
      <w:r>
        <w:rPr>
          <w:b/>
          <w:bCs/>
        </w:rPr>
        <w:t xml:space="preserve">We cover return shipping</w:t>
      </w:r>
      <w:r>
        <w:t xml:space="preserve"> whenever the issue is our fault — a defective unit, a manufacturing fault under warranty, a damaged-in-transit package, or the wrong item shipped. In those cases we provide a prepaid return label at no cost to you.</w:t>
      </w:r>
    </w:p>
    <w:p>
      <w:pPr>
        <w:pStyle w:val="Heading1"/>
      </w:pPr>
      <w:r>
        <w:t xml:space="preserve">Refunds</w:t>
      </w:r>
    </w:p>
    <w:p>
      <w:pPr>
        <w:pStyle w:val="ListParagraph"/>
        <w:numPr>
          <w:ilvl w:val="0"/>
          <w:numId w:val="2"/>
        </w:numPr>
        <w:spacing w:after="70" w:line="270"/>
      </w:pPr>
      <w:r>
        <w:t xml:space="preserve">Once your returned device is received and inspected, we’ll email you to confirm approval.</w:t>
      </w:r>
    </w:p>
    <w:p>
      <w:pPr>
        <w:pStyle w:val="ListParagraph"/>
        <w:numPr>
          <w:ilvl w:val="0"/>
          <w:numId w:val="2"/>
        </w:numPr>
        <w:spacing w:after="70" w:line="270"/>
      </w:pPr>
      <w:r>
        <w:t xml:space="preserve">Approved refunds are issued to your </w:t>
      </w:r>
      <w:r>
        <w:rPr>
          <w:b/>
          <w:bCs/>
        </w:rPr>
        <w:t xml:space="preserve">original payment method</w:t>
      </w:r>
      <w:r>
        <w:t xml:space="preserve"> within </w:t>
      </w:r>
      <w:r>
        <w:rPr>
          <w:b/>
          <w:bCs/>
        </w:rPr>
        <w:t xml:space="preserve">5–10 business days</w:t>
      </w:r>
      <w:r>
        <w:t xml:space="preserve">. Your bank or card issuer may take a few additional days to post the credit.</w:t>
      </w:r>
    </w:p>
    <w:p>
      <w:pPr>
        <w:pStyle w:val="ListParagraph"/>
        <w:numPr>
          <w:ilvl w:val="0"/>
          <w:numId w:val="2"/>
        </w:numPr>
        <w:spacing w:after="70" w:line="270"/>
      </w:pPr>
      <w:r>
        <w:t xml:space="preserve">The refund covers the </w:t>
      </w:r>
      <w:r>
        <w:rPr>
          <w:b/>
          <w:bCs/>
        </w:rPr>
        <w:t xml:space="preserve">purchase price of the device</w:t>
      </w:r>
      <w:r>
        <w:t xml:space="preserve">. Original and return shipping costs are non-refundable on change-of-mind returns.</w:t>
      </w:r>
    </w:p>
    <w:p>
      <w:pPr>
        <w:pStyle w:val="Heading1"/>
      </w:pPr>
      <w:r>
        <w:t xml:space="preserve">Items That Cannot Be Returned</w:t>
      </w:r>
    </w:p>
    <w:p>
      <w:pPr>
        <w:pStyle w:val="ListParagraph"/>
        <w:numPr>
          <w:ilvl w:val="0"/>
          <w:numId w:val="2"/>
        </w:numPr>
        <w:spacing w:after="70" w:line="270"/>
      </w:pPr>
      <w:r>
        <w:t xml:space="preserve">Devices returned after the 60-day window has closed.</w:t>
      </w:r>
    </w:p>
    <w:p>
      <w:pPr>
        <w:pStyle w:val="ListParagraph"/>
        <w:numPr>
          <w:ilvl w:val="0"/>
          <w:numId w:val="2"/>
        </w:numPr>
        <w:spacing w:after="70" w:line="270"/>
      </w:pPr>
      <w:r>
        <w:t xml:space="preserve">Devices with damage caused by misuse, drops, liquid exposure, or unauthorized repair/modification (these remain covered for manufacturing defects under the Warranty).</w:t>
      </w:r>
    </w:p>
    <w:p>
      <w:pPr>
        <w:pStyle w:val="ListParagraph"/>
        <w:numPr>
          <w:ilvl w:val="0"/>
          <w:numId w:val="2"/>
        </w:numPr>
        <w:spacing w:after="70" w:line="270"/>
      </w:pPr>
      <w:r>
        <w:t xml:space="preserve">Items missing their original packaging or essential accessories.</w:t>
      </w:r>
    </w:p>
    <w:p>
      <w:pPr>
        <w:pStyle w:val="ListParagraph"/>
        <w:numPr>
          <w:ilvl w:val="0"/>
          <w:numId w:val="2"/>
        </w:numPr>
        <w:spacing w:after="70" w:line="270"/>
      </w:pPr>
      <w:r>
        <w:t xml:space="preserve">Gift cards and clearance/final-sale items (clearly marked as such at the time of purchase).</w:t>
      </w:r>
    </w:p>
    <w:p>
      <w:pPr>
        <w:pStyle w:val="ListParagraph"/>
        <w:numPr>
          <w:ilvl w:val="0"/>
          <w:numId w:val="2"/>
        </w:numPr>
        <w:spacing w:after="70" w:line="270"/>
      </w:pPr>
      <w:r>
        <w:t xml:space="preserve">The BK300 UVB lamp consumable, once used, for hygiene and safety reasons (the device itself remains returnable/warrantied).</w:t>
      </w:r>
    </w:p>
    <w:p>
      <w:pPr>
        <w:pStyle w:val="Heading1"/>
      </w:pPr>
      <w:r>
        <w:t xml:space="preserve">Damaged, Defective, or Incorrect Items</w:t>
      </w:r>
    </w:p>
    <w:p>
      <w:pPr>
        <w:spacing w:after="140" w:line="276"/>
      </w:pPr>
      <w:r>
        <w:t xml:space="preserve">If your order arrives </w:t>
      </w:r>
      <w:r>
        <w:rPr>
          <w:b/>
          <w:bCs/>
        </w:rPr>
        <w:t xml:space="preserve">damaged, defective, missing parts, or you received the wrong item</w:t>
      </w:r>
      <w:r>
        <w:t xml:space="preserve">, please contact us within </w:t>
      </w:r>
      <w:r>
        <w:rPr>
          <w:b/>
          <w:bCs/>
        </w:rPr>
        <w:t xml:space="preserve">7 days of delivery</w:t>
      </w:r>
      <w:r>
        <w:t xml:space="preserve"> with your order number and a few photos of the issue (and the outer box, if damaged in transit).</w:t>
      </w:r>
    </w:p>
    <w:p>
      <w:pPr>
        <w:spacing w:after="140" w:line="276"/>
      </w:pPr>
      <w:r>
        <w:t xml:space="preserve">We’ll make it right at </w:t>
      </w:r>
      <w:r>
        <w:rPr>
          <w:b/>
          <w:bCs/>
        </w:rPr>
        <w:t xml:space="preserve">no cost to you</w:t>
      </w:r>
      <w:r>
        <w:t xml:space="preserve"> — including a </w:t>
      </w:r>
      <w:r>
        <w:rPr>
          <w:b/>
          <w:bCs/>
        </w:rPr>
        <w:t xml:space="preserve">prepaid return label</w:t>
      </w:r>
      <w:r>
        <w:t xml:space="preserve"> — by sending a replacement, the correct item, or a full refund, whichever you prefer. This is separate from the 60-day money-back guarantee and never counts against it.</w:t>
      </w:r>
    </w:p>
    <w:p>
      <w:pPr>
        <w:pStyle w:val="Heading1"/>
      </w:pPr>
      <w:r>
        <w:t xml:space="preserve">Exchanges</w:t>
      </w:r>
    </w:p>
    <w:p>
      <w:pPr>
        <w:spacing w:after="140" w:line="276"/>
      </w:pPr>
      <w:r>
        <w:t xml:space="preserve">Want a different model (for example, swapping the G15 for the G15P)? Contact us within 60 days of delivery and we’ll help you exchange it. You’ll arrange return shipping for the original device, and simply pay any price difference for the new one — or receive a refund of the difference if the new device costs less.</w:t>
      </w:r>
    </w:p>
    <w:p>
      <w:pPr>
        <w:pStyle w:val="Heading1"/>
      </w:pPr>
      <w:r>
        <w:t xml:space="preserve">Order Changes &amp; Cancellations</w:t>
      </w:r>
    </w:p>
    <w:p>
      <w:pPr>
        <w:spacing w:after="140" w:line="276"/>
      </w:pPr>
      <w:r>
        <w:t xml:space="preserve">Need to change or cancel an order? Contact us as soon as possible. Orders can usually be modified or cancelled free of charge any time </w:t>
      </w:r>
      <w:r>
        <w:rPr>
          <w:b/>
          <w:bCs/>
        </w:rPr>
        <w:t xml:space="preserve">before they ship</w:t>
      </w:r>
      <w:r>
        <w:t xml:space="preserve"> (typically within the 1–2 business-day processing window). Once an order has shipped, it falls under the standard return process above.</w:t>
      </w:r>
    </w:p>
    <w:p>
      <w:pPr>
        <w:pStyle w:val="Heading1"/>
      </w:pPr>
      <w:r>
        <w:t xml:space="preserve">Warranty</w:t>
      </w:r>
    </w:p>
    <w:p>
      <w:pPr>
        <w:spacing w:after="140" w:line="276"/>
      </w:pPr>
      <w:r>
        <w:t xml:space="preserve">Beyond the 60-day guarantee, every device carries a </w:t>
      </w:r>
      <w:r>
        <w:rPr>
          <w:b/>
          <w:bCs/>
        </w:rPr>
        <w:t xml:space="preserve">1–3 year limited warranty</w:t>
      </w:r>
      <w:r>
        <w:t xml:space="preserve"> (depending on model) covering manufacturing defects, with Lufalight paying return shipping on valid warranty claims. See our Warranty page for full coverage details and per-model terms.</w:t>
      </w:r>
    </w:p>
    <w:p>
      <w:pPr>
        <w:pStyle w:val="Heading1"/>
      </w:pPr>
      <w:r>
        <w:t xml:space="preserve">Questions?</w:t>
      </w:r>
    </w:p>
    <w:p>
      <w:pPr>
        <w:spacing w:after="140" w:line="276"/>
      </w:pPr>
      <w:r>
        <w:t xml:space="preserve">Our Canada &amp; USA support team is happy to help with any return, exchange, or warranty question. Reach us at support@lufalight.com or +1 800-LUFA-LIT, Monday–Friday.</w:t>
      </w:r>
    </w:p>
    <w:p>
      <w:pPr>
        <w:pStyle w:val="Heading1"/>
        <w:pageBreakBefore/>
      </w:pPr>
      <w:r>
        <w:t xml:space="preserve">How Lufalight Compares</w:t>
      </w:r>
    </w:p>
    <w:p>
      <w:pPr>
        <w:spacing w:after="140" w:line="276"/>
      </w:pPr>
      <w:r>
        <w:t xml:space="preserve">A side-by-side look at Lufalight’s shipping &amp; returns terms against three leading red light therapy brands in the Canada / US market. Competitor details are summarized from each brand’s published policy pages and are subject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040"/>
        <w:gridCol w:w="1740"/>
        <w:gridCol w:w="1560"/>
        <w:gridCol w:w="1740"/>
      </w:tblGrid>
      <w:tr>
        <w:trPr>
          <w:tblHeader/>
        </w:trPr>
        <w:tc>
          <w:tcPr>
            <w:tcW w:type="dxa" w:w="2280"/>
            <w:tcBorders>
              <w:top w:val="single" w:color="DDDDDD" w:sz="4"/>
              <w:left w:val="single" w:color="DDDDDD" w:sz="4"/>
              <w:bottom w:val="single" w:color="DDDDDD" w:sz="4"/>
              <w:right w:val="single" w:color="DDDDDD" w:sz="4"/>
            </w:tcBorders>
            <w:shd w:fill="2B2B2B" w:val="clear"/>
            <w:tcMar>
              <w:top w:type="dxa" w:w="90"/>
              <w:left w:type="dxa" w:w="120"/>
              <w:bottom w:type="dxa" w:w="90"/>
              <w:right w:type="dxa" w:w="120"/>
            </w:tcMar>
            <w:vAlign w:val="center"/>
          </w:tcPr>
          <w:p>
            <w:r>
              <w:rPr>
                <w:b/>
                <w:bCs/>
                <w:color w:val="FFFFFF"/>
                <w:sz w:val="19"/>
                <w:szCs w:val="19"/>
              </w:rPr>
              <w:t xml:space="preserve"/>
            </w:r>
          </w:p>
        </w:tc>
        <w:tc>
          <w:tcPr>
            <w:tcW w:type="dxa" w:w="2040"/>
            <w:tcBorders>
              <w:top w:val="single" w:color="DDDDDD" w:sz="4"/>
              <w:left w:val="single" w:color="DDDDDD" w:sz="4"/>
              <w:bottom w:val="single" w:color="DDDDDD" w:sz="4"/>
              <w:right w:val="single" w:color="DDDDDD" w:sz="4"/>
            </w:tcBorders>
            <w:shd w:fill="2B2B2B" w:val="clear"/>
            <w:tcMar>
              <w:top w:type="dxa" w:w="90"/>
              <w:left w:type="dxa" w:w="120"/>
              <w:bottom w:type="dxa" w:w="90"/>
              <w:right w:type="dxa" w:w="120"/>
            </w:tcMar>
            <w:vAlign w:val="center"/>
          </w:tcPr>
          <w:p>
            <w:r>
              <w:rPr>
                <w:b/>
                <w:bCs/>
                <w:color w:val="FFFFFF"/>
                <w:sz w:val="19"/>
                <w:szCs w:val="19"/>
              </w:rPr>
              <w:t xml:space="preserve">Lufalight</w:t>
            </w:r>
          </w:p>
        </w:tc>
        <w:tc>
          <w:tcPr>
            <w:tcW w:type="dxa" w:w="1740"/>
            <w:tcBorders>
              <w:top w:val="single" w:color="DDDDDD" w:sz="4"/>
              <w:left w:val="single" w:color="DDDDDD" w:sz="4"/>
              <w:bottom w:val="single" w:color="DDDDDD" w:sz="4"/>
              <w:right w:val="single" w:color="DDDDDD" w:sz="4"/>
            </w:tcBorders>
            <w:shd w:fill="2B2B2B" w:val="clear"/>
            <w:tcMar>
              <w:top w:type="dxa" w:w="90"/>
              <w:left w:type="dxa" w:w="120"/>
              <w:bottom w:type="dxa" w:w="90"/>
              <w:right w:type="dxa" w:w="120"/>
            </w:tcMar>
            <w:vAlign w:val="center"/>
          </w:tcPr>
          <w:p>
            <w:r>
              <w:rPr>
                <w:b/>
                <w:bCs/>
                <w:color w:val="FFFFFF"/>
                <w:sz w:val="19"/>
                <w:szCs w:val="19"/>
              </w:rPr>
              <w:t xml:space="preserve">Orion RLT</w:t>
            </w:r>
          </w:p>
        </w:tc>
        <w:tc>
          <w:tcPr>
            <w:tcW w:type="dxa" w:w="1560"/>
            <w:tcBorders>
              <w:top w:val="single" w:color="DDDDDD" w:sz="4"/>
              <w:left w:val="single" w:color="DDDDDD" w:sz="4"/>
              <w:bottom w:val="single" w:color="DDDDDD" w:sz="4"/>
              <w:right w:val="single" w:color="DDDDDD" w:sz="4"/>
            </w:tcBorders>
            <w:shd w:fill="2B2B2B" w:val="clear"/>
            <w:tcMar>
              <w:top w:type="dxa" w:w="90"/>
              <w:left w:type="dxa" w:w="120"/>
              <w:bottom w:type="dxa" w:w="90"/>
              <w:right w:type="dxa" w:w="120"/>
            </w:tcMar>
            <w:vAlign w:val="center"/>
          </w:tcPr>
          <w:p>
            <w:r>
              <w:rPr>
                <w:b/>
                <w:bCs/>
                <w:color w:val="FFFFFF"/>
                <w:sz w:val="19"/>
                <w:szCs w:val="19"/>
              </w:rPr>
              <w:t xml:space="preserve">Hooga</w:t>
            </w:r>
          </w:p>
        </w:tc>
        <w:tc>
          <w:tcPr>
            <w:tcW w:type="dxa" w:w="1740"/>
            <w:tcBorders>
              <w:top w:val="single" w:color="DDDDDD" w:sz="4"/>
              <w:left w:val="single" w:color="DDDDDD" w:sz="4"/>
              <w:bottom w:val="single" w:color="DDDDDD" w:sz="4"/>
              <w:right w:val="single" w:color="DDDDDD" w:sz="4"/>
            </w:tcBorders>
            <w:shd w:fill="2B2B2B" w:val="clear"/>
            <w:tcMar>
              <w:top w:type="dxa" w:w="90"/>
              <w:left w:type="dxa" w:w="120"/>
              <w:bottom w:type="dxa" w:w="90"/>
              <w:right w:type="dxa" w:w="120"/>
            </w:tcMar>
            <w:vAlign w:val="center"/>
          </w:tcPr>
          <w:p>
            <w:r>
              <w:rPr>
                <w:b/>
                <w:bCs/>
                <w:color w:val="FFFFFF"/>
                <w:sz w:val="19"/>
                <w:szCs w:val="19"/>
              </w:rPr>
              <w:t xml:space="preserve">Mito Red Light</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Money-back / return window</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60 days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60 days panels / 30 days accessories</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60 days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60 days</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Restocking fee</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None</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Fee if parts missing</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None</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Not stated</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Return shipping (change of mind)</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Customer pays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Customer pays</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Prepaid label, cost deducted from refund</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Per policy</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Return shipping (defective / our fault)</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Free — we cover it</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Per warranty</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Replacement for defective/damaged</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Per policy</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Outbound shipping</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Free to Canada &amp; USA, no minimum</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Calculated; duties at checkout</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Discounted prepaid labels (US)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Free US (lower 48)</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Refund processing</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5–10 business days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Within 5 business days</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3–5 business days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Per policy</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Condition required</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Like-new, original packaging, all accessories</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Like-new, all accessories &amp; packaging</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Same condition, original packaging</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Per policy</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Warranty</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1–3 years (by model)</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1–2 years (by model)</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Not specified</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2 years (entry series)</w:t>
            </w:r>
          </w:p>
        </w:tc>
      </w:tr>
      <w:tr>
        <w:tc>
          <w:tcPr>
            <w:tcW w:type="dxa" w:w="228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bCs/>
                <w:color w:val="1A1A1A"/>
                <w:sz w:val="18"/>
                <w:szCs w:val="18"/>
              </w:rPr>
              <w:t xml:space="preserve">Ships from / market</w:t>
            </w:r>
          </w:p>
        </w:tc>
        <w:tc>
          <w:tcPr>
            <w:tcW w:type="dxa" w:w="2040"/>
            <w:tcBorders>
              <w:top w:val="single" w:color="DDDDDD" w:sz="4"/>
              <w:left w:val="single" w:color="DDDDDD" w:sz="4"/>
              <w:bottom w:val="single" w:color="DDDDDD" w:sz="4"/>
              <w:right w:val="single" w:color="DDDDDD" w:sz="4"/>
            </w:tcBorders>
            <w:shd w:fill="FBE3E3" w:val="clear"/>
            <w:tcMar>
              <w:top w:type="dxa" w:w="80"/>
              <w:left w:type="dxa" w:w="120"/>
              <w:bottom w:type="dxa" w:w="80"/>
              <w:right w:type="dxa" w:w="120"/>
            </w:tcMar>
            <w:vAlign w:val="center"/>
          </w:tcPr>
          <w:p>
            <w:r>
              <w:rPr>
                <w:b/>
                <w:bCs/>
                <w:color w:val="333333"/>
                <w:sz w:val="18"/>
                <w:szCs w:val="18"/>
              </w:rPr>
              <w:t xml:space="preserve">Canada &amp; USA</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Vancouver, BC (Canada)</w:t>
            </w:r>
          </w:p>
        </w:tc>
        <w:tc>
          <w:tcPr>
            <w:tcW w:type="dxa" w:w="156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USA</w:t>
            </w:r>
          </w:p>
        </w:tc>
        <w:tc>
          <w:tcPr>
            <w:tcW w:type="dxa" w:w="1740"/>
            <w:tcBorders>
              <w:top w:val="single" w:color="DDDDDD" w:sz="4"/>
              <w:left w:val="single" w:color="DDDDDD" w:sz="4"/>
              <w:bottom w:val="single" w:color="DDDDDD" w:sz="4"/>
              <w:right w:val="single" w:color="DDDDDD" w:sz="4"/>
            </w:tcBorders>
            <w:tcMar>
              <w:top w:type="dxa" w:w="80"/>
              <w:left w:type="dxa" w:w="120"/>
              <w:bottom w:type="dxa" w:w="80"/>
              <w:right w:type="dxa" w:w="120"/>
            </w:tcMar>
            <w:vAlign w:val="center"/>
          </w:tcPr>
          <w:p>
            <w:r>
              <w:rPr>
                <w:b w:val="false"/>
                <w:bCs w:val="false"/>
                <w:color w:val="333333"/>
                <w:sz w:val="18"/>
                <w:szCs w:val="18"/>
              </w:rPr>
              <w:t xml:space="preserve">USA or Canada</w:t>
            </w:r>
          </w:p>
        </w:tc>
      </w:tr>
    </w:tbl>
    <w:p>
      <w:pPr>
        <w:spacing w:before="160"/>
      </w:pPr>
      <w:r>
        <w:rPr>
          <w:i/>
          <w:iCs/>
          <w:color w:val="666666"/>
          <w:sz w:val="16"/>
          <w:szCs w:val="16"/>
        </w:rPr>
        <w:t xml:space="preserve">Highlighted column = Lufalight. Competitor terms shown for general comparison only; always refer to each brand’s official policy for current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E82D2D"/>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Lufalight — Shipping &amp; Returns Policy</dc:title>
  <dc:creator>Lufalight</dc:creator>
  <dc:description>Shipping and returns policy with competitor comparison</dc:description>
  <cp:lastModifiedBy>Un-named</cp:lastModifiedBy>
  <cp:revision>1</cp:revision>
  <dcterms:created xsi:type="dcterms:W3CDTF">2026-06-25T23:13:20.552Z</dcterms:created>
  <dcterms:modified xsi:type="dcterms:W3CDTF">2026-06-25T23:13:20.554Z</dcterms:modified>
</cp:coreProperties>
</file>

<file path=docProps/custom.xml><?xml version="1.0" encoding="utf-8"?>
<Properties xmlns="http://schemas.openxmlformats.org/officeDocument/2006/custom-properties" xmlns:vt="http://schemas.openxmlformats.org/officeDocument/2006/docPropsVTypes"/>
</file>