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6" w:name="content"/>
    <w:bookmarkStart w:id="25" w:name="rubric-deliverables-matrix"/>
    <w:p>
      <w:pPr>
        <w:pStyle w:val="Heading1"/>
      </w:pPr>
      <w:r>
        <w:t xml:space="preserve">Rubric → Deliverables Matrix</w:t>
      </w:r>
    </w:p>
    <w:p>
      <w:pPr>
        <w:pStyle w:val="FirstParagraph"/>
      </w:pPr>
      <w:r>
        <w:t xml:space="preserve">This matrix maps each rubric criterion (A1–C9) to the concrete tasks, artifacts and due dates used in the Online Examination System project. It is intended as a planning and tracking aid for the Delivery &amp; Rubric Compliance Agent and the team.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Criterion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Tasks / Deliverables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Due Date</w:t>
            </w:r>
          </w:p>
        </w:tc>
        <w:tc>
          <w:tcPr/>
          <w:p>
            <w:pPr>
              <w:pStyle w:val="Compact"/>
            </w:pPr>
            <w:r>
              <w:t xml:space="preserve">Proof / Artifact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A1 – Frontend: Beautiful UI</w:t>
            </w:r>
          </w:p>
        </w:tc>
        <w:tc>
          <w:tcPr/>
          <w:p>
            <w:pPr>
              <w:pStyle w:val="Compact"/>
            </w:pPr>
            <w:r>
              <w:t xml:space="preserve">Provide a consistent design system, responsive typography and spacing, and complete core pages (Home, Login, Exam List, Exam Room, Results, Admin).</w:t>
            </w:r>
          </w:p>
        </w:tc>
        <w:tc>
          <w:tcPr/>
          <w:p>
            <w:pPr>
              <w:pStyle w:val="Compact"/>
            </w:pPr>
            <w:r>
              <w:t xml:space="preserve">Design UI kit (colors, typography, spacing). Implement core pages with loading/error/empty states. Provide 5–8 screenshots and a short demo video.</w:t>
            </w:r>
          </w:p>
        </w:tc>
        <w:tc>
          <w:tcPr/>
          <w:p>
            <w:pPr>
              <w:pStyle w:val="Compact"/>
            </w:pPr>
            <w:r>
              <w:t xml:space="preserve">Frontend Lead</w:t>
            </w:r>
          </w:p>
        </w:tc>
        <w:tc>
          <w:tcPr/>
          <w:p>
            <w:pPr>
              <w:pStyle w:val="Compac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  <w:r>
              <w:t xml:space="preserve">Screenshots, design document, video demo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A2 – Frontend: Mobile Responsiveness</w:t>
            </w:r>
          </w:p>
        </w:tc>
        <w:tc>
          <w:tcPr/>
          <w:p>
            <w:pPr>
              <w:pStyle w:val="Compact"/>
            </w:pPr>
            <w:r>
              <w:t xml:space="preserve">Ensure layouts adapt for phones (≈360×640) and tablets (≈768×1024) with no horizontal overflow.</w:t>
            </w:r>
          </w:p>
        </w:tc>
        <w:tc>
          <w:tcPr/>
          <w:p>
            <w:pPr>
              <w:pStyle w:val="Compact"/>
            </w:pPr>
            <w:r>
              <w:t xml:space="preserve">Test each core page on two breakpoints. Implement responsive navigation (drawer or bottom nav) for mobile. Capture screenshots and run Lighthouse accessibility audit.</w:t>
            </w:r>
          </w:p>
        </w:tc>
        <w:tc>
          <w:tcPr/>
          <w:p>
            <w:pPr>
              <w:pStyle w:val="Compact"/>
            </w:pPr>
            <w:r>
              <w:t xml:space="preserve">Frontend Team</w:t>
            </w:r>
          </w:p>
        </w:tc>
        <w:tc>
          <w:tcPr/>
          <w:p>
            <w:pPr>
              <w:pStyle w:val="Compac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  <w:r>
              <w:t xml:space="preserve">Device screenshots, Lighthouse report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A3 – Backend: Functional Breadth &amp; Correctness</w:t>
            </w:r>
          </w:p>
        </w:tc>
        <w:tc>
          <w:tcPr/>
          <w:p>
            <w:pPr>
              <w:pStyle w:val="Compact"/>
            </w:pPr>
            <w:r>
              <w:t xml:space="preserve">Complete end‑to‑end exam workflow: auth (JWT), question bank, exam creation/assignment, snapshot start, autosave, submit, auto grading, results. Provide standardized error handling and Swagger/OpenAPI documentation.</w:t>
            </w:r>
          </w:p>
        </w:tc>
        <w:tc>
          <w:tcPr/>
          <w:p>
            <w:pPr>
              <w:pStyle w:val="Compact"/>
            </w:pPr>
            <w:r>
              <w:t xml:space="preserve">Implement controllers, services and EF Core models. Create Swagger documentation and Postman collection. Run integration tests.</w:t>
            </w:r>
          </w:p>
        </w:tc>
        <w:tc>
          <w:tcPr/>
          <w:p>
            <w:pPr>
              <w:pStyle w:val="Compact"/>
            </w:pPr>
            <w:r>
              <w:t xml:space="preserve">Backend Lead</w:t>
            </w:r>
          </w:p>
        </w:tc>
        <w:tc>
          <w:tcPr/>
          <w:p>
            <w:pPr>
              <w:pStyle w:val="Compac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  <w:r>
              <w:t xml:space="preserve">Swagger URL, Postman JSON, test results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A4 – Technology Depth &amp; Suitability</w:t>
            </w:r>
          </w:p>
        </w:tc>
        <w:tc>
          <w:tcPr/>
          <w:p>
            <w:pPr>
              <w:pStyle w:val="Compact"/>
            </w:pPr>
            <w:r>
              <w:t xml:space="preserve">Use SignalR for real‑time timer/monitoring, EF Core migrations for schema management, JWT for auth, Docker, and CI/CD pipelines.</w:t>
            </w:r>
          </w:p>
        </w:tc>
        <w:tc>
          <w:tcPr/>
          <w:p>
            <w:pPr>
              <w:pStyle w:val="Compact"/>
            </w:pPr>
            <w:r>
              <w:t xml:space="preserve">Implement SignalR hubs, configure EF migrations, set up Docker Compose and GitHub Actions. Ensure all pipelines are green.</w:t>
            </w:r>
          </w:p>
        </w:tc>
        <w:tc>
          <w:tcPr/>
          <w:p>
            <w:pPr>
              <w:pStyle w:val="Compact"/>
            </w:pPr>
            <w:r>
              <w:t xml:space="preserve">DevOps Lead</w:t>
            </w:r>
          </w:p>
        </w:tc>
        <w:tc>
          <w:tcPr/>
          <w:p>
            <w:pPr>
              <w:pStyle w:val="Compact"/>
            </w:pPr>
            <w:r>
              <w:t xml:space="preserve">M5</w:t>
            </w:r>
          </w:p>
        </w:tc>
        <w:tc>
          <w:tcPr/>
          <w:p>
            <w:pPr>
              <w:pStyle w:val="Compact"/>
            </w:pPr>
            <w:r>
              <w:t xml:space="preserve">docker‑compose.yml, pipeline YAML, green build screenshot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A5 – Online Deployment</w:t>
            </w:r>
          </w:p>
        </w:tc>
        <w:tc>
          <w:tcPr/>
          <w:p>
            <w:pPr>
              <w:pStyle w:val="Compact"/>
            </w:pPr>
            <w:r>
              <w:t xml:space="preserve">Provide publicly accessible deployment with HTTPS, domain configuration, secrets management and health endpoint.</w:t>
            </w:r>
          </w:p>
        </w:tc>
        <w:tc>
          <w:tcPr/>
          <w:p>
            <w:pPr>
              <w:pStyle w:val="Compact"/>
            </w:pPr>
            <w:r>
              <w:t xml:space="preserve">Deploy to a cloud platform (e.g., Azure or DigitalOcean). Configure SSL certificates and environment secrets. Maintain uptime during demo week.</w:t>
            </w:r>
          </w:p>
        </w:tc>
        <w:tc>
          <w:tcPr/>
          <w:p>
            <w:pPr>
              <w:pStyle w:val="Compact"/>
            </w:pPr>
            <w:r>
              <w:t xml:space="preserve">DevOps Team</w:t>
            </w:r>
          </w:p>
        </w:tc>
        <w:tc>
          <w:tcPr/>
          <w:p>
            <w:pPr>
              <w:pStyle w:val="Compact"/>
            </w:pPr>
            <w:r>
              <w:t xml:space="preserve">M5</w:t>
            </w:r>
          </w:p>
        </w:tc>
        <w:tc>
          <w:tcPr/>
          <w:p>
            <w:pPr>
              <w:pStyle w:val="Compact"/>
            </w:pPr>
            <w:r>
              <w:t xml:space="preserve">Live URL, health endpoint screenshot, certificate 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B6 – Written Report</w:t>
            </w:r>
          </w:p>
        </w:tc>
        <w:tc>
          <w:tcPr/>
          <w:p>
            <w:pPr>
              <w:pStyle w:val="Compact"/>
            </w:pPr>
            <w:r>
              <w:t xml:space="preserve">Produce a 10–20 page report covering problem statement, FR/NFR, 3‑tier architecture, ERD &amp; schema, policies (snapshot, randomization, grading, timing, security, retention), test plan, deployment overview and references.</w:t>
            </w:r>
          </w:p>
        </w:tc>
        <w:tc>
          <w:tcPr/>
          <w:p>
            <w:pPr>
              <w:pStyle w:val="Compact"/>
            </w:pPr>
            <w:r>
              <w:t xml:space="preserve">Compile the design documents into a cohesive report. Convert to PDF (docs/report.pdf). Include citations for UTC storage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, 3rd normal form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 </w:t>
            </w:r>
            <w:r>
              <w:t xml:space="preserve">and secure password hashing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Documentation Lead</w:t>
            </w:r>
          </w:p>
        </w:tc>
        <w:tc>
          <w:tcPr/>
          <w:p>
            <w:pPr>
              <w:pStyle w:val="Compact"/>
            </w:pPr>
            <w:r>
              <w:t xml:space="preserve">M4</w:t>
            </w:r>
          </w:p>
        </w:tc>
        <w:tc>
          <w:tcPr/>
          <w:p>
            <w:pPr>
              <w:pStyle w:val="Compact"/>
            </w:pPr>
            <w:r>
              <w:t xml:space="preserve">report.pdf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B7 – Presentation &amp; Q&amp;A</w:t>
            </w:r>
          </w:p>
        </w:tc>
        <w:tc>
          <w:tcPr/>
          <w:p>
            <w:pPr>
              <w:pStyle w:val="Compact"/>
            </w:pPr>
            <w:r>
              <w:t xml:space="preserve">Prepare ≤15 slides covering the end‑to‑end solution, demo, architecture, results and future work. Deliver a 5–7 minute live demo and answer questions.</w:t>
            </w:r>
          </w:p>
        </w:tc>
        <w:tc>
          <w:tcPr/>
          <w:p>
            <w:pPr>
              <w:pStyle w:val="Compact"/>
            </w:pPr>
            <w:r>
              <w:t xml:space="preserve">Assemble slides. Rehearse the demo. Provide a video recording if required.</w:t>
            </w:r>
          </w:p>
        </w:tc>
        <w:tc>
          <w:tcPr/>
          <w:p>
            <w:pPr>
              <w:pStyle w:val="Compact"/>
            </w:pPr>
            <w:r>
              <w:t xml:space="preserve">Team Lead</w:t>
            </w:r>
          </w:p>
        </w:tc>
        <w:tc>
          <w:tcPr/>
          <w:p>
            <w:pPr>
              <w:pStyle w:val="Compact"/>
            </w:pPr>
            <w:r>
              <w:t xml:space="preserve">M5</w:t>
            </w:r>
          </w:p>
        </w:tc>
        <w:tc>
          <w:tcPr/>
          <w:p>
            <w:pPr>
              <w:pStyle w:val="Compact"/>
            </w:pPr>
            <w:r>
              <w:t xml:space="preserve">Slide deck (PDF), demo recording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C8 – Team Organization</w:t>
            </w:r>
          </w:p>
        </w:tc>
        <w:tc>
          <w:tcPr/>
          <w:p>
            <w:pPr>
              <w:pStyle w:val="Compact"/>
            </w:pPr>
            <w:r>
              <w:t xml:space="preserve">Maintain a Trello/Kanban board with backlog/doing/review/done columns. Log weekly work per member from week 6. Show velocity or burndown charts.</w:t>
            </w:r>
          </w:p>
        </w:tc>
        <w:tc>
          <w:tcPr/>
          <w:p>
            <w:pPr>
              <w:pStyle w:val="Compact"/>
            </w:pPr>
            <w:r>
              <w:t xml:space="preserve">Create the board. Assign tasks. Update weekly worklogs. Export the board as PDF/CSV.</w:t>
            </w:r>
          </w:p>
        </w:tc>
        <w:tc>
          <w:tcPr/>
          <w:p>
            <w:pPr>
              <w:pStyle w:val="Compact"/>
            </w:pPr>
            <w:r>
              <w:t xml:space="preserve">Project Manager</w:t>
            </w:r>
          </w:p>
        </w:tc>
        <w:tc>
          <w:tcPr/>
          <w:p>
            <w:pPr>
              <w:pStyle w:val="Compact"/>
            </w:pPr>
            <w:r>
              <w:t xml:space="preserve">M2–M5</w:t>
            </w:r>
          </w:p>
        </w:tc>
        <w:tc>
          <w:tcPr/>
          <w:p>
            <w:pPr>
              <w:pStyle w:val="Compact"/>
            </w:pPr>
            <w:r>
              <w:t xml:space="preserve">Trello export, worklog file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C9 – Frequent Commits &amp; Code Review</w:t>
            </w:r>
          </w:p>
        </w:tc>
        <w:tc>
          <w:tcPr/>
          <w:p>
            <w:pPr>
              <w:pStyle w:val="Compact"/>
            </w:pPr>
            <w:r>
              <w:t xml:space="preserve">Ensure each member commits regularly (≥2 commits/week). Use pull requests with at least one reviewer. Adopt conventional commit messages and avoid committing secrets.</w:t>
            </w:r>
          </w:p>
        </w:tc>
        <w:tc>
          <w:tcPr/>
          <w:p>
            <w:pPr>
              <w:pStyle w:val="Compact"/>
            </w:pPr>
            <w:r>
              <w:t xml:space="preserve">Configure branch protection. Monitor commit activity. Conduct code reviews.</w:t>
            </w:r>
          </w:p>
        </w:tc>
        <w:tc>
          <w:tcPr/>
          <w:p>
            <w:pPr>
              <w:pStyle w:val="Compact"/>
            </w:pPr>
            <w:r>
              <w:t xml:space="preserve">Project Manager</w:t>
            </w:r>
          </w:p>
        </w:tc>
        <w:tc>
          <w:tcPr/>
          <w:p>
            <w:pPr>
              <w:pStyle w:val="Compact"/>
            </w:pPr>
            <w:r>
              <w:t xml:space="preserve">Week 6–M5</w:t>
            </w:r>
          </w:p>
        </w:tc>
        <w:tc>
          <w:tcPr/>
          <w:p>
            <w:pPr>
              <w:pStyle w:val="Compact"/>
            </w:pPr>
            <w:r>
              <w:t xml:space="preserve">GitHub Insights screenshot, PR list, CI status</w:t>
            </w:r>
          </w:p>
        </w:tc>
      </w:tr>
    </w:tbl>
    <w:bookmarkStart w:id="24" w:name="notes"/>
    <w:p>
      <w:pPr>
        <w:pStyle w:val="Heading3"/>
      </w:pPr>
      <w:r>
        <w:t xml:space="preserve">Notes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Assumptions</w:t>
      </w:r>
      <w:r>
        <w:t xml:space="preserve"> </w:t>
      </w:r>
      <w:r>
        <w:t xml:space="preserve">– The due dates refer to project milestones M1–M5 defined in the Milestone Plan. Adjust as necessary to reflect the actual semester timeline.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Proof</w:t>
      </w:r>
      <w:r>
        <w:t xml:space="preserve"> </w:t>
      </w:r>
      <w:r>
        <w:t xml:space="preserve">– The evidence ledger (</w:t>
      </w:r>
      <w:r>
        <w:rPr>
          <w:rStyle w:val="VerbatimChar"/>
        </w:rPr>
        <w:t xml:space="preserve">docs/evidence/Evidence.md</w:t>
      </w:r>
      <w:r>
        <w:t xml:space="preserve">) specifies precisely what must be collected and where to store it for each criterion.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Cross‑References</w:t>
      </w:r>
      <w:r>
        <w:t xml:space="preserve"> </w:t>
      </w:r>
      <w:r>
        <w:t xml:space="preserve">– Many tasks relate to multiple criteria (e.g., real‑time features contribute to A3 and A4). This matrix shows the primary mapping for tracking purposes.</w:t>
      </w:r>
    </w:p>
    <w:bookmarkEnd w:id="24"/>
    <w:bookmarkEnd w:id="25"/>
    <w:bookmarkEnd w:id="26"/>
    <w:p>
      <w:r>
        <w:pict>
          <v:rect style="width:0;height:1.5pt" o:hralign="center" o:hrstd="t" o:hr="t"/>
        </w:pict>
      </w:r>
    </w:p>
    <w:bookmarkStart w:id="30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Dates and Times in SQL Server: AT TIME ZONE</w:t>
      </w:r>
    </w:p>
    <w:p>
      <w:pPr>
        <w:pStyle w:val="BodyText"/>
      </w:pPr>
      <w:hyperlink r:id="rId27">
        <w:r>
          <w:rPr>
            <w:rStyle w:val="Hyperlink"/>
          </w:rPr>
          <w:t xml:space="preserve">https://dzone.com/articles/dates-and-times-in-sql-server-at-time-zone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Database normalization description - Microsoft 365 Apps | Microsoft Learn</w:t>
      </w:r>
    </w:p>
    <w:p>
      <w:pPr>
        <w:pStyle w:val="BodyText"/>
      </w:pPr>
      <w:hyperlink r:id="rId28">
        <w:r>
          <w:rPr>
            <w:rStyle w:val="Hyperlink"/>
          </w:rPr>
          <w:t xml:space="preserve">https://learn.microsoft.com/en-us/troubleshoot/microsoft-365-apps/access/database-normalization-description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Password Storage - OWASP Cheat Sheet Series</w:t>
      </w:r>
    </w:p>
    <w:p>
      <w:pPr>
        <w:pStyle w:val="BodyText"/>
      </w:pPr>
      <w:hyperlink r:id="rId29">
        <w:r>
          <w:rPr>
            <w:rStyle w:val="Hyperlink"/>
          </w:rPr>
          <w:t xml:space="preserve">https://cheatsheetseries.owasp.org/cheatsheets/Password_Storage_Cheat_Sheet.html</w:t>
        </w:r>
      </w:hyperlink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heatsheetseries.owasp.org/cheatsheets/Password_Storage_Cheat_Sheet.html" TargetMode="External" /><Relationship Type="http://schemas.openxmlformats.org/officeDocument/2006/relationships/hyperlink" Id="rId23" Target="https://cheatsheetseries.owasp.org/cheatsheets/Password_Storage_Cheat_Sheet.html#:~:text=To%20sum%20up%20our%20recommendations%3A" TargetMode="External" /><Relationship Type="http://schemas.openxmlformats.org/officeDocument/2006/relationships/hyperlink" Id="rId27" Target="https://dzone.com/articles/dates-and-times-in-sql-server-at-time-zone" TargetMode="External" /><Relationship Type="http://schemas.openxmlformats.org/officeDocument/2006/relationships/hyperlink" Id="rId21" Target="https://dzone.com/articles/dates-and-times-in-sql-server-at-time-zone#:~:text=In%20the%20Azure%20SQL%20Database%2C,calculations%20at%20the%20presentation%20layer" TargetMode="External" /><Relationship Type="http://schemas.openxmlformats.org/officeDocument/2006/relationships/hyperlink" Id="rId28" Target="https://learn.microsoft.com/en-us/troubleshoot/microsoft-365-apps/access/database-normalization-description" TargetMode="External" /><Relationship Type="http://schemas.openxmlformats.org/officeDocument/2006/relationships/hyperlink" Id="rId22" Target="https://learn.microsoft.com/en-us/troubleshoot/microsoft-365-apps/access/database-normalization-description#:~:text=Description%20of%20normaliz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heatsheetseries.owasp.org/cheatsheets/Password_Storage_Cheat_Sheet.html" TargetMode="External" /><Relationship Type="http://schemas.openxmlformats.org/officeDocument/2006/relationships/hyperlink" Id="rId23" Target="https://cheatsheetseries.owasp.org/cheatsheets/Password_Storage_Cheat_Sheet.html#:~:text=To%20sum%20up%20our%20recommendations%3A" TargetMode="External" /><Relationship Type="http://schemas.openxmlformats.org/officeDocument/2006/relationships/hyperlink" Id="rId27" Target="https://dzone.com/articles/dates-and-times-in-sql-server-at-time-zone" TargetMode="External" /><Relationship Type="http://schemas.openxmlformats.org/officeDocument/2006/relationships/hyperlink" Id="rId21" Target="https://dzone.com/articles/dates-and-times-in-sql-server-at-time-zone#:~:text=In%20the%20Azure%20SQL%20Database%2C,calculations%20at%20the%20presentation%20layer" TargetMode="External" /><Relationship Type="http://schemas.openxmlformats.org/officeDocument/2006/relationships/hyperlink" Id="rId28" Target="https://learn.microsoft.com/en-us/troubleshoot/microsoft-365-apps/access/database-normalization-description" TargetMode="External" /><Relationship Type="http://schemas.openxmlformats.org/officeDocument/2006/relationships/hyperlink" Id="rId22" Target="https://learn.microsoft.com/en-us/troubleshoot/microsoft-365-apps/access/database-normalization-description#:~:text=Description%20of%20normaliz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2025-10-25T11:31:54Z</dcterms:created>
  <dcterms:modified xsi:type="dcterms:W3CDTF">2025-10-25T11:31:54Z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