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CAR alert generated as a 90-day follow-up review from a prior review (Case #XXX, BSA ID XXXXXXX), which was filed on MM/DD/YYYY. That case addressed Circle Mint 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/ XXXX, end user of Circle Mint 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and had a review period of MM/DD/YYYY to MM/DD/YYYY.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current alert’s review period is from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(day prior to CAR review). This review identified [DESCRIBE NEW ACTIVITY]. This activity is not consistent with previously reported transactions and does not appear unusual because [INCLUDE MITIGATING FACTORS].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External research on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[identified/did not identify] XXXXX.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the observed activity in the review period does not appear unusual, this alert is being cleared.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BYc6/NSA84/AvHYTZVR0IM0FlQ==">CgMxLjA4AHIhMXpoRGUzeE1DSDN5OG4yNHhPR3lBb0N5clowS3RhYWZL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