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CAR alert generated as a 90-day follow-up review from a prior review (Case #XXX, BSA ID XXXXXXX), which was filed on MM/DD/YYYY. That case addressed Circle Mint customer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/ XXXX, end user of Circle Mint customer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and had a review period of MM/DD/YYYY to MM/DD/YYYY.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current alert’s review period is from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(day prior to CAR review)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This review identified no new transactions within the review period. As such, there does not appear to be any continued suspicious activity.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</w:t>
      </w:r>
      <w:r w:rsidDel="00000000" w:rsidR="00000000" w:rsidRPr="00000000">
        <w:rPr>
          <w:rFonts w:ascii="Proxima Nova" w:cs="Proxima Nova" w:eastAsia="Proxima Nova" w:hAnsi="Proxima Nova"/>
          <w:color w:val="1d1c1d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had no new transactions, updated research was not performed. Due to the lack of activity in the review period, this alert is being cleared.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L+c3EIl42mbo+Ti/uG1xEPH7g==">CgMxLjA4AHIhMWZBTHQ1dWp1YXQzN0pGaTRrNDBqY0F2YkFCenNiaW9J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