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232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2323322222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/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1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12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03/01/2024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12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03/01/2024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16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 năm 2024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we we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