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 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 </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11/02/1996</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Q00074145</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Lenguyentannhat3@gmail.com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0451474003</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Delivery</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14 ROMA AVE MOUNT PRITCHARD NSW 2170</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 tháng</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 năm</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PERMANENT RESIDENT VISA (GIẤY CẤP THƯỜNG TRÚ)</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sống cùng nhà với c Mai Thị Khánh Linh. 
- Tôi đã sống cùng c Linh 7 tháng. 
- Tôi thuê 1 phòng trong căn nhà của c ấy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Toi va c Linh quen biet nhau tu nam 2022 den nay là 2 nam
- Toi gap c Linh trong mot bua tiec cua mot nguoi ban
- 9/2023 toi gap rac roi voi chu nha vi vay da thue 1 phong tai nha cua c Linh
- Cuoi thang 3/2024 c Linh gioi thieu ck sap cuoi la a Le Minh Ngoc</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thường gặp c Linh nhưng chỉ gặp a Ngọc vài lần qua trò chuyện video 
call của họ - Tôi gặp cô ấy hàng ngày vào buổi chiều tối sau khi về nhà. - Tôi thân
vs c Linh và thường nói chuyện vs cô nhiều hơn.</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