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Vietnam Energy-Transition Scenarios: A Short Guide for Policy Readers</w:t>
      </w:r>
    </w:p>
    <w:p>
      <w:pPr>
        <w:pStyle w:val="Subtitle"/>
      </w:pPr>
      <w:r>
        <w:t xml:space="preserve">Distilled from DGE-METRIC Technical Report, Section 6 — Scenario Design Framework</w:t>
      </w:r>
    </w:p>
    <w:bookmarkStart w:id="15" w:name="X9a84d6e73b9bee2169afff8e3dbdf0fa156542c"/>
    <w:p>
      <w:pPr>
        <w:pStyle w:val="Heading1"/>
      </w:pPr>
      <w:r>
        <w:t xml:space="preserve">Vietnam Energy-Transition Scenarios: A Short Guide for Policy Readers</w:t>
      </w:r>
    </w:p>
    <w:p>
      <w:pPr>
        <w:pStyle w:val="FirstParagraph"/>
      </w:pPr>
      <w:r>
        <w:rPr>
          <w:i/>
          <w:iCs/>
        </w:rPr>
        <w:t xml:space="preserve">Distilled from DGE-METRIC Technical Report, Section 6 — Scenario Design Framework.</w:t>
      </w:r>
      <w:r>
        <w:rPr>
          <w:i/>
          <w:iCs/>
        </w:rPr>
        <w:t xml:space="preserve"> </w:t>
      </w:r>
      <w:r>
        <w:rPr>
          <w:i/>
          <w:iCs/>
        </w:rPr>
        <w:t xml:space="preserve">This brief is written for a policy audience: no equations, no code variable names.</w:t>
      </w:r>
    </w:p>
    <w:bookmarkStart w:id="9" w:name="X00e5d1d4bfbf97a4f064ba93ad8d4cb8146e233"/>
    <w:p>
      <w:pPr>
        <w:pStyle w:val="Heading2"/>
      </w:pPr>
      <w:r>
        <w:t xml:space="preserve">Why there is a family of scenarios, not just one</w:t>
      </w:r>
    </w:p>
    <w:p>
      <w:pPr>
        <w:pStyle w:val="FirstParagraph"/>
      </w:pPr>
      <w:r>
        <w:t xml:space="preserve">Every scenario in this study starts from the same place: a policy-consistent baseline built</w:t>
      </w:r>
      <w:r>
        <w:t xml:space="preserve"> </w:t>
      </w:r>
      <w:r>
        <w:t xml:space="preserve">around Vietnam’s 8th Power Development Plan (PDP8). From that common starting point, three</w:t>
      </w:r>
      <w:r>
        <w:t xml:space="preserve"> </w:t>
      </w:r>
      <w:r>
        <w:t xml:space="preserve">separate questions are asked, each answered by its own branch of scenarios: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if emissions were capped outright?</w:t>
      </w:r>
      <w:r>
        <w:t xml:space="preserve"> </w:t>
      </w:r>
      <w:r>
        <w:t xml:space="preserve">— the Net-Zero branch.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if households and firms used less energy per unit of output?</w:t>
      </w:r>
      <w:r>
        <w:t xml:space="preserve"> </w:t>
      </w:r>
      <w:r>
        <w:t xml:space="preserve">— the Energy</w:t>
      </w:r>
      <w:r>
        <w:t xml:space="preserve"> </w:t>
      </w:r>
      <w:r>
        <w:t xml:space="preserve">Efficiency branch.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if the cost of financing clean-energy investment were lower — or higher?</w:t>
      </w:r>
      <w:r>
        <w:t xml:space="preserve"> </w:t>
      </w:r>
      <w:r>
        <w:t xml:space="preserve">— the</w:t>
      </w:r>
      <w:r>
        <w:t xml:space="preserve"> </w:t>
      </w:r>
      <w:r>
        <w:t xml:space="preserve">Green Finance branch.</w:t>
      </w:r>
    </w:p>
    <w:p>
      <w:pPr>
        <w:pStyle w:val="FirstParagraph"/>
      </w:pPr>
      <w:r>
        <w:t xml:space="preserve">Because every scenario shares the same starting calibration and the same underlying economy,</w:t>
      </w:r>
      <w:r>
        <w:t xml:space="preserve"> </w:t>
      </w:r>
      <w:r>
        <w:t xml:space="preserve">any difference in outcomes between two scenarios can be attributed to the specific policy change</w:t>
      </w:r>
      <w:r>
        <w:t xml:space="preserve"> </w:t>
      </w:r>
      <w:r>
        <w:t xml:space="preserve">being tested, not to some other hidden difference in assumptions.</w:t>
      </w:r>
    </w:p>
    <w:bookmarkEnd w:id="9"/>
    <w:bookmarkStart w:id="10" w:name="Xe5037937e7ef6ee50ebed17014463d51a803990"/>
    <w:p>
      <w:pPr>
        <w:pStyle w:val="Heading2"/>
      </w:pPr>
      <w:r>
        <w:t xml:space="preserve">Branch 1 — Net-Zero: how much does fuel-switching and efficiency actually save?</w:t>
      </w:r>
    </w:p>
    <w:p>
      <w:pPr>
        <w:pStyle w:val="FirstParagraph"/>
      </w:pPr>
      <w:r>
        <w:t xml:space="preserve">The Net-Zero scenario puts a binding, economy-wide limit on emissions, enforced through a</w:t>
      </w:r>
      <w:r>
        <w:t xml:space="preserve"> </w:t>
      </w:r>
      <w:r>
        <w:t xml:space="preserve">carbon-pricing mechanism. On its own, that only says emissions come down — it does not say</w:t>
      </w:r>
      <w:r>
        <w:t xml:space="preserve"> </w:t>
      </w:r>
      <w:r>
        <w:rPr>
          <w:i/>
          <w:iCs/>
        </w:rPr>
        <w:t xml:space="preserve">how</w:t>
      </w:r>
      <w:r>
        <w:t xml:space="preserve">. To find out, two stripped-down variants are run alongside it:</w:t>
      </w:r>
    </w:p>
    <w:p>
      <w:pPr>
        <w:pStyle w:val="Compact"/>
        <w:numPr>
          <w:ilvl w:val="0"/>
          <w:numId w:val="1002"/>
        </w:numPr>
      </w:pPr>
      <w:r>
        <w:t xml:space="preserve">One that removes the ability of industries to become cleaner per unit of fuel burned.</w:t>
      </w:r>
    </w:p>
    <w:p>
      <w:pPr>
        <w:pStyle w:val="Compact"/>
        <w:numPr>
          <w:ilvl w:val="0"/>
          <w:numId w:val="1002"/>
        </w:numPr>
      </w:pPr>
      <w:r>
        <w:t xml:space="preserve">One that removes both that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ability to use energy more efficiently overall.</w:t>
      </w:r>
    </w:p>
    <w:p>
      <w:pPr>
        <w:pStyle w:val="FirstParagraph"/>
      </w:pPr>
      <w:r>
        <w:t xml:space="preserve">Comparing all three tells a simple story: if fuel-switching and efficiency gains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available, how much more would have to be done through carbon pricing, restructuring which</w:t>
      </w:r>
      <w:r>
        <w:t xml:space="preserve"> </w:t>
      </w:r>
      <w:r>
        <w:t xml:space="preserve">sectors produce what, and faster renewable buildout? Read together, the three Net-Zero variants</w:t>
      </w:r>
      <w:r>
        <w:t xml:space="preserve"> </w:t>
      </w:r>
      <w:r>
        <w:t xml:space="preserve">give a ceiling on how costly the transition could be if technology cooperated less than assumed.</w:t>
      </w:r>
    </w:p>
    <w:bookmarkEnd w:id="10"/>
    <w:bookmarkStart w:id="11" w:name="Xb2a5e9d832c65a476da95ed46f00279c5fe5e85"/>
    <w:p>
      <w:pPr>
        <w:pStyle w:val="Heading2"/>
      </w:pPr>
      <w:r>
        <w:t xml:space="preserve">Branch 2 — Energy Efficiency: what if demand for energy simply fell?</w:t>
      </w:r>
    </w:p>
    <w:p>
      <w:pPr>
        <w:pStyle w:val="FirstParagraph"/>
      </w:pPr>
      <w:r>
        <w:t xml:space="preserve">This branch layers efficiency and rooftop-solar assumptions on top of the PDP8 baseline —</w:t>
      </w:r>
      <w:r>
        <w:t xml:space="preserve"> </w:t>
      </w:r>
      <w:r>
        <w:t xml:space="preserve">industry and services becoming more efficient, more distributed rooftop solar, and battery</w:t>
      </w:r>
      <w:r>
        <w:t xml:space="preserve"> </w:t>
      </w:r>
      <w:r>
        <w:t xml:space="preserve">storage to make use of it. Several named variants (aligned to different policy programs, e.g.</w:t>
      </w:r>
      <w:r>
        <w:t xml:space="preserve"> </w:t>
      </w:r>
      <w:r>
        <w:t xml:space="preserve">Directive 10) and a</w:t>
      </w:r>
      <w:r>
        <w:t xml:space="preserve"> </w:t>
      </w:r>
      <w:r>
        <w:t xml:space="preserve">“no battery storage”</w:t>
      </w:r>
      <w:r>
        <w:t xml:space="preserve"> </w:t>
      </w:r>
      <w:r>
        <w:t xml:space="preserve">counterfactual for each let readers see how much of the</w:t>
      </w:r>
      <w:r>
        <w:t xml:space="preserve"> </w:t>
      </w:r>
      <w:r>
        <w:t xml:space="preserve">benefit depends specifically on storage being deployed alongside solar, versus efficiency gains</w:t>
      </w:r>
      <w:r>
        <w:t xml:space="preserve"> </w:t>
      </w:r>
      <w:r>
        <w:t xml:space="preserve">on their own.</w:t>
      </w:r>
    </w:p>
    <w:bookmarkEnd w:id="11"/>
    <w:bookmarkStart w:id="12" w:name="X4ddb6a636a73172a86f070eb9b6c6a5dff2a45b"/>
    <w:p>
      <w:pPr>
        <w:pStyle w:val="Heading2"/>
      </w:pPr>
      <w:r>
        <w:t xml:space="preserve">Branch 3 — Green Finance: what does cheaper capital buy?</w:t>
      </w:r>
    </w:p>
    <w:p>
      <w:pPr>
        <w:pStyle w:val="FirstParagraph"/>
      </w:pPr>
      <w:r>
        <w:t xml:space="preserve">Concessional loans, blended finance, green bonds, and guarantees are not modeled item by item.</w:t>
      </w:r>
      <w:r>
        <w:t xml:space="preserve"> </w:t>
      </w:r>
      <w:r>
        <w:t xml:space="preserve">Instead they are represented the way they show up in a firm’s investment decision: a lower cost</w:t>
      </w:r>
      <w:r>
        <w:t xml:space="preserve"> </w:t>
      </w:r>
      <w:r>
        <w:t xml:space="preserve">of capital, a lower price for new energy-capital goods, and a larger volume of public investment.</w:t>
      </w:r>
      <w:r>
        <w:t xml:space="preserve"> </w:t>
      </w:r>
      <w:r>
        <w:t xml:space="preserve">Three financing</w:t>
      </w:r>
      <w:r>
        <w:t xml:space="preserve"> </w:t>
      </w:r>
      <w:r>
        <w:t xml:space="preserve">“architectures”</w:t>
      </w:r>
      <w:r>
        <w:t xml:space="preserve"> </w:t>
      </w:r>
      <w:r>
        <w:t xml:space="preserve">are compared: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Weighted average cost of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(GF_A)</w:t>
            </w:r>
          </w:p>
        </w:tc>
        <w:tc>
          <w:tcPr/>
          <w:p>
            <w:pPr>
              <w:pStyle w:val="Compact"/>
            </w:pPr>
            <w:r>
              <w:t xml:space="preserve">Mixed public/private financing</w:t>
            </w:r>
          </w:p>
        </w:tc>
        <w:tc>
          <w:tcPr/>
          <w:p>
            <w:pPr>
              <w:pStyle w:val="Compact"/>
            </w:pPr>
            <w:r>
              <w:t xml:space="preserve">6.43%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Market-led (GF_B)</w:t>
            </w:r>
          </w:p>
        </w:tc>
        <w:tc>
          <w:tcPr/>
          <w:p>
            <w:pPr>
              <w:pStyle w:val="Compact"/>
            </w:pPr>
            <w:r>
              <w:t xml:space="preserve">Private capital does more of the work</w:t>
            </w:r>
          </w:p>
        </w:tc>
        <w:tc>
          <w:tcPr/>
          <w:p>
            <w:pPr>
              <w:pStyle w:val="Compact"/>
            </w:pPr>
            <w:r>
              <w:t xml:space="preserve">7.37%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Public-led (GF_C)</w:t>
            </w:r>
          </w:p>
        </w:tc>
        <w:tc>
          <w:tcPr/>
          <w:p>
            <w:pPr>
              <w:pStyle w:val="Compact"/>
            </w:pPr>
            <w:r>
              <w:t xml:space="preserve">Public/concessional capital does more of the work</w:t>
            </w:r>
          </w:p>
        </w:tc>
        <w:tc>
          <w:tcPr/>
          <w:p>
            <w:pPr>
              <w:pStyle w:val="Compact"/>
            </w:pPr>
            <w:r>
              <w:t xml:space="preserve">5.07%</w:t>
            </w:r>
          </w:p>
        </w:tc>
      </w:tr>
    </w:tbl>
    <w:p>
      <w:pPr>
        <w:pStyle w:val="BodyText"/>
      </w:pPr>
      <w:r>
        <w:t xml:space="preserve">Each is tested against both the PDP8 baseline and the Net-Zero cap, so readers can see the</w:t>
      </w:r>
      <w:r>
        <w:t xml:space="preserve"> </w:t>
      </w:r>
      <w:r>
        <w:t xml:space="preserve">financing effect on its own and combined with a binding emissions constraint.</w:t>
      </w:r>
    </w:p>
    <w:p>
      <w:pPr>
        <w:pStyle w:val="BodyText"/>
      </w:pPr>
      <w:r>
        <w:rPr>
          <w:b/>
          <w:bCs/>
        </w:rPr>
        <w:t xml:space="preserve">A caveat worth repeating in any briefing:</w:t>
      </w:r>
      <w:r>
        <w:t xml:space="preserve"> </w:t>
      </w:r>
      <w:r>
        <w:t xml:space="preserve">these results show what a financing architecture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achieve if fully and smoothly deployed at the assumed cost. The model cannot verify</w:t>
      </w:r>
      <w:r>
        <w:t xml:space="preserve"> </w:t>
      </w:r>
      <w:r>
        <w:t xml:space="preserve">whether the underlying interest-rate reductions are realistic or institutionally achievable at</w:t>
      </w:r>
      <w:r>
        <w:t xml:space="preserve"> </w:t>
      </w:r>
      <w:r>
        <w:t xml:space="preserve">that scale — that judgment belongs to finance-sector experts, not to the model.</w:t>
      </w:r>
    </w:p>
    <w:bookmarkEnd w:id="12"/>
    <w:bookmarkStart w:id="13" w:name="Xff4317241a90e4d8196deec432176cebd5f1c3d"/>
    <w:p>
      <w:pPr>
        <w:pStyle w:val="Heading2"/>
      </w:pPr>
      <w:r>
        <w:t xml:space="preserve">A caveat about which scenarios you’re actually looking at</w:t>
      </w:r>
    </w:p>
    <w:p>
      <w:pPr>
        <w:pStyle w:val="FirstParagraph"/>
      </w:pPr>
      <w:r>
        <w:t xml:space="preserve">Not every scenario described in the technical documentation is switched on by default when the</w:t>
      </w:r>
      <w:r>
        <w:t xml:space="preserve"> </w:t>
      </w:r>
      <w:r>
        <w:t xml:space="preserve">model is run. Some are fully built and ready but simply excluded from the default run list;</w:t>
      </w:r>
      <w:r>
        <w:t xml:space="preserve"> </w:t>
      </w:r>
      <w:r>
        <w:t xml:space="preserve">others are still individually commented out. Before citing a specific number in front of a</w:t>
      </w:r>
      <w:r>
        <w:t xml:space="preserve"> </w:t>
      </w:r>
      <w:r>
        <w:t xml:space="preserve">minister or donor, always confirm which exact scenario configuration produced it —</w:t>
      </w:r>
      <w:r>
        <w:t xml:space="preserve"> </w:t>
      </w:r>
      <w:r>
        <w:t xml:space="preserve">“the model</w:t>
      </w:r>
      <w:r>
        <w:t xml:space="preserve"> </w:t>
      </w:r>
      <w:r>
        <w:t xml:space="preserve">shows a scenario exists”</w:t>
      </w:r>
      <w:r>
        <w:t xml:space="preserve"> </w:t>
      </w:r>
      <w:r>
        <w:t xml:space="preserve">is not the same claim as</w:t>
      </w:r>
      <w:r>
        <w:t xml:space="preserve"> </w:t>
      </w:r>
      <w:r>
        <w:t xml:space="preserve">“the model was run and produced this number.”</w:t>
      </w:r>
    </w:p>
    <w:bookmarkEnd w:id="13"/>
    <w:bookmarkStart w:id="14" w:name="how-to-read-the-comparison-charts"/>
    <w:p>
      <w:pPr>
        <w:pStyle w:val="Heading2"/>
      </w:pPr>
      <w:r>
        <w:t xml:space="preserve">How to read the comparison charts</w:t>
      </w:r>
    </w:p>
    <w:p>
      <w:pPr>
        <w:pStyle w:val="FirstParagraph"/>
      </w:pPr>
      <w:r>
        <w:t xml:space="preserve">Figures accompanying this brief show</w:t>
      </w:r>
      <w:r>
        <w:t xml:space="preserve"> </w:t>
      </w:r>
      <w:r>
        <w:rPr>
          <w:i/>
          <w:iCs/>
        </w:rPr>
        <w:t xml:space="preserve">deviation from the Baseline</w:t>
      </w:r>
      <w:r>
        <w:t xml:space="preserve">, not the raw scenario path</w:t>
      </w:r>
      <w:r>
        <w:t xml:space="preserve"> </w:t>
      </w:r>
      <w:r>
        <w:t xml:space="preserve">itself, usually averaged over five-year blocks (2026–2030, 2031–2035, and so on). A negative bar</w:t>
      </w:r>
      <w:r>
        <w:t xml:space="preserve"> </w:t>
      </w:r>
      <w:r>
        <w:t xml:space="preserve">on an energy-intensity chart means energy use per unit of output</w:t>
      </w:r>
      <w:r>
        <w:t xml:space="preserve"> </w:t>
      </w:r>
      <w:r>
        <w:rPr>
          <w:i/>
          <w:iCs/>
        </w:rPr>
        <w:t xml:space="preserve">improved</w:t>
      </w:r>
      <w:r>
        <w:t xml:space="preserve"> </w:t>
      </w:r>
      <w:r>
        <w:t xml:space="preserve">relative to Baseline;</w:t>
      </w:r>
      <w:r>
        <w:t xml:space="preserve"> </w:t>
      </w:r>
      <w:r>
        <w:t xml:space="preserve">a positive bar on a GDP-share chart means that category grew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as a share of the economy</w:t>
      </w:r>
      <w:r>
        <w:t xml:space="preserve"> </w:t>
      </w:r>
      <w:r>
        <w:t xml:space="preserve">than it would have under Baseline alone. Always read the axis label and the sign before drawing a</w:t>
      </w:r>
      <w:r>
        <w:t xml:space="preserve"> </w:t>
      </w:r>
      <w:r>
        <w:t xml:space="preserve">conclusion from the shape of a bar.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Source: DGE-METRIC Technical Report, Section 6 (</w:t>
      </w:r>
      <w:r>
        <w:rPr>
          <w:i/>
          <w:iCs/>
        </w:rPr>
        <w:t xml:space="preserve">“Scenario Design Framework”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docs/reports/TECHNICAL_REPORT.md</w:t>
      </w:r>
      <w:r>
        <w:rPr>
          <w:i/>
          <w:iCs/>
        </w:rPr>
        <w:t xml:space="preserve"> </w:t>
      </w:r>
      <w:r>
        <w:rPr>
          <w:i/>
          <w:iCs/>
        </w:rPr>
        <w:t xml:space="preserve">in the DGE-METRIC repository. This document is a simplified</w:t>
      </w:r>
      <w:r>
        <w:rPr>
          <w:i/>
          <w:iCs/>
        </w:rPr>
        <w:t xml:space="preserve"> </w:t>
      </w:r>
      <w:r>
        <w:rPr>
          <w:i/>
          <w:iCs/>
        </w:rPr>
        <w:t xml:space="preserve">derivative for training purposes and is not a substitute for the technical report.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Vietnam Energy-Transition Scenarios: A Short Guide for Policy Readers</dc:title>
  <dc:creator/>
  <cp:keywords/>
  <dcterms:created xsi:type="dcterms:W3CDTF">2026-07-22T16:48:49Z</dcterms:created>
  <dcterms:modified xsi:type="dcterms:W3CDTF">2026-07-22T16:48:49Z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Distilled from DGE-METRIC Technical Report, Section 6 — Scenario Design Framework</vt:lpwstr>
  </property>
</Properties>
</file>