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DGE-METRIC Online Training — Detailed Agenda</w:t>
      </w:r>
    </w:p>
    <w:p>
      <w:pPr>
        <w:pStyle w:val="BodyText"/>
      </w:pPr>
      <w:r>
        <w:t xml:space="preserve">Finance &amp; Energy-Efficiency Scenarios, Reserve Requirements, and Calibration &amp; Sensitivity Analysis</w:t>
      </w:r>
    </w:p>
    <w:p>
      <w:pPr>
        <w:pStyle w:val="BodyText"/>
      </w:pPr>
      <w:r>
        <w:rPr>
          <w:b/>
          <w:bCs/>
        </w:rPr>
        <w:t xml:space="preserve">GIZ Vietnam | DGE-METRIC Program | Online Module | 22–24 July 2026</w:t>
      </w:r>
    </w:p>
    <w:p>
      <w:pPr>
        <w:pStyle w:val="BodyText"/>
      </w:pPr>
      <w:r>
        <w:t xml:space="preserve">Continuing your DGE-METRIC training online — this course picks up directly from the on-site training (Training Days 1–2, and Day 3 if already completed) and moves into applied, hands-on model use. This document expands the course schedule into a block-by-block agenda for each of the five sessions.</w:t>
      </w:r>
    </w:p>
    <w:p>
      <w:pPr>
        <w:pStyle w:val="BodyText"/>
      </w:pPr>
      <w:r>
        <w:rPr>
          <w:b/>
          <w:bCs/>
        </w:rPr>
        <w:t xml:space="preserve">2026-07-13 revision:</w:t>
      </w:r>
      <w:r>
        <w:t xml:space="preserve"> </w:t>
      </w:r>
      <w:r>
        <w:t xml:space="preserve">each afternoon now goes deep on one topic rather than surveying several. Day 1 PM defines finance and energy-efficiency scenarios in full detail; Day 2 PM covers the reserve-requirement method and how it would be implemented; Day 3 PM covers calibration internals, how to modify them, and sensitivity analysis. To make room for that depth, the Distributed Energy Resources and LNG-to-Hydrogen pathways are out of scope for this iteration (energy-efficiency remains the one fully-worked pathway example); codebase navigation and Git/GitHub Desktop moved from Day 1 PM to Day 2 AM, right before they’re needed hands-on; and the closing wrap-up is now a short block at the end of Day 3 PM rather than its own session.</w:t>
      </w:r>
    </w:p>
    <w:bookmarkStart w:id="9" w:name="who-this-is-for"/>
    <w:p>
      <w:pPr>
        <w:pStyle w:val="Heading1"/>
      </w:pPr>
      <w:r>
        <w:t xml:space="preserve">Who this is for</w:t>
      </w:r>
    </w:p>
    <w:p>
      <w:pPr>
        <w:pStyle w:val="FirstParagraph"/>
      </w:pPr>
      <w:r>
        <w:t xml:space="preserve">Participants who have already attended the on-site DGE-METRIC training. This course does not repeat introductory macroeconomic or DGE modeling theory — it focuses on using the model independently: calibration, scenario design, interpretation, and policy communication.</w:t>
      </w:r>
    </w:p>
    <w:bookmarkEnd w:id="9"/>
    <w:bookmarkStart w:id="10" w:name="what-you-will-be-able-to-do-afterward"/>
    <w:p>
      <w:pPr>
        <w:pStyle w:val="Heading1"/>
      </w:pPr>
      <w:r>
        <w:t xml:space="preserve">What you will be able to do afterward</w:t>
      </w:r>
    </w:p>
    <w:p>
      <w:pPr>
        <w:pStyle w:val="Compact"/>
        <w:numPr>
          <w:ilvl w:val="0"/>
          <w:numId w:val="1001"/>
        </w:numPr>
      </w:pPr>
      <w:r>
        <w:t xml:space="preserve">Navigate the DGE-METRIC repository — including tracing an equation to the code that computes it.</w:t>
      </w:r>
    </w:p>
    <w:p>
      <w:pPr>
        <w:pStyle w:val="Compact"/>
        <w:numPr>
          <w:ilvl w:val="0"/>
          <w:numId w:val="1001"/>
        </w:numPr>
      </w:pPr>
      <w:r>
        <w:t xml:space="preserve">Run a baseline calibration, read its diagnostics with confidence, and debug common MATLAB/Dynare errors systematically.</w:t>
      </w:r>
    </w:p>
    <w:p>
      <w:pPr>
        <w:pStyle w:val="Compact"/>
        <w:numPr>
          <w:ilvl w:val="0"/>
          <w:numId w:val="1001"/>
        </w:numPr>
      </w:pPr>
      <w:r>
        <w:t xml:space="preserve">Design and fully document a finance scenario and an energy-efficiency scenario, with transparent, source-grounded assumptions.</w:t>
      </w:r>
    </w:p>
    <w:p>
      <w:pPr>
        <w:pStyle w:val="Compact"/>
        <w:numPr>
          <w:ilvl w:val="0"/>
          <w:numId w:val="1001"/>
        </w:numPr>
      </w:pPr>
      <w:r>
        <w:t xml:space="preserve">Modify calibration data inputs and structural parameters, and run a basic one-at-a-time sensitivity analysis across parameter values.</w:t>
      </w:r>
    </w:p>
    <w:p>
      <w:pPr>
        <w:pStyle w:val="Compact"/>
        <w:numPr>
          <w:ilvl w:val="0"/>
          <w:numId w:val="1001"/>
        </w:numPr>
      </w:pPr>
      <w:r>
        <w:t xml:space="preserve">Explain the optimal-reserve-requirement method (MC = MB) and how such an analysis would be implemented in the DGE-METRIC codebase once the formula is confirmed.</w:t>
      </w:r>
    </w:p>
    <w:p>
      <w:pPr>
        <w:pStyle w:val="Compact"/>
        <w:numPr>
          <w:ilvl w:val="0"/>
          <w:numId w:val="1001"/>
        </w:numPr>
      </w:pPr>
      <w:r>
        <w:t xml:space="preserve">Use GitHub Desktop for basic version control, working alongside VS Code, and an AI coding assistant in VS Code to help navigate and edit model files.</w:t>
      </w:r>
    </w:p>
    <w:p>
      <w:pPr>
        <w:pStyle w:val="Compact"/>
        <w:numPr>
          <w:ilvl w:val="0"/>
          <w:numId w:val="1001"/>
        </w:numPr>
      </w:pPr>
      <w:r>
        <w:t xml:space="preserve">Produce reproducible charts and concise policy briefs that translate model results into actionable recommendations, including caveats.</w:t>
      </w:r>
    </w:p>
    <w:bookmarkEnd w:id="10"/>
    <w:bookmarkStart w:id="11" w:name="format"/>
    <w:p>
      <w:pPr>
        <w:pStyle w:val="Heading1"/>
      </w:pPr>
      <w:r>
        <w:t xml:space="preserve">Format</w:t>
      </w:r>
    </w:p>
    <w:p>
      <w:pPr>
        <w:pStyle w:val="Compact"/>
        <w:numPr>
          <w:ilvl w:val="0"/>
          <w:numId w:val="1002"/>
        </w:numPr>
      </w:pPr>
      <w:r>
        <w:t xml:space="preserve">3 online sessions across 3 days: Wednesday 22 – Friday 24 July 2026 — 2 mornings and 3 afternoons of live content (5 sessions total, see detailed schedule below).</w:t>
      </w:r>
    </w:p>
    <w:p>
      <w:pPr>
        <w:pStyle w:val="Compact"/>
        <w:numPr>
          <w:ilvl w:val="0"/>
          <w:numId w:val="1002"/>
        </w:numPr>
      </w:pPr>
      <w:r>
        <w:t xml:space="preserve">Total live time: approximately 15 hours (each session runs about 3 hours / 180 minutes).</w:t>
      </w:r>
    </w:p>
    <w:p>
      <w:pPr>
        <w:pStyle w:val="Compact"/>
        <w:numPr>
          <w:ilvl w:val="0"/>
          <w:numId w:val="1002"/>
        </w:numPr>
      </w:pPr>
      <w:r>
        <w:t xml:space="preserve">Each afternoon is a design/definition session (no model run); each morning is hands-on, applying the previous afternoon’s work.</w:t>
      </w:r>
    </w:p>
    <w:p>
      <w:pPr>
        <w:pStyle w:val="Compact"/>
        <w:numPr>
          <w:ilvl w:val="0"/>
          <w:numId w:val="1002"/>
        </w:numPr>
      </w:pPr>
      <w:r>
        <w:t xml:space="preserve">Day 3 PM ends with a short independent-use checklist and exit ticket instead of a separate wrap-up session.</w:t>
      </w:r>
    </w:p>
    <w:p>
      <w:pPr>
        <w:pStyle w:val="Compact"/>
        <w:numPr>
          <w:ilvl w:val="0"/>
          <w:numId w:val="1002"/>
        </w:numPr>
      </w:pPr>
      <w:r>
        <w:t xml:space="preserve">Software needed: MATLAB and Dynare, installed and working before Day 1; GitHub Desktop and VS Code are introduced live on Day 2 morning and can be installed then or in advance (see</w:t>
      </w:r>
      <w:r>
        <w:t xml:space="preserve"> </w:t>
      </w:r>
      <w:r>
        <w:t xml:space="preserve">“Before you join”</w:t>
      </w:r>
      <w:r>
        <w:t xml:space="preserve"> </w:t>
      </w:r>
      <w:r>
        <w:t xml:space="preserve">below).</w:t>
      </w:r>
    </w:p>
    <w:p>
      <w:pPr>
        <w:pStyle w:val="Compact"/>
        <w:numPr>
          <w:ilvl w:val="0"/>
          <w:numId w:val="1002"/>
        </w:numPr>
      </w:pPr>
      <w:r>
        <w:t xml:space="preserve">Each session includes at least one short break; exact clock time and time zone are still to be confirmed, so times below are given as elapsed minutes from the start of each session rather than clock times.</w:t>
      </w:r>
    </w:p>
    <w:bookmarkEnd w:id="11"/>
    <w:bookmarkStart w:id="17" w:name="detailed-schedule"/>
    <w:p>
      <w:pPr>
        <w:pStyle w:val="Heading1"/>
      </w:pPr>
      <w:r>
        <w:t xml:space="preserve">Detailed Schedule</w:t>
      </w:r>
    </w:p>
    <w:p>
      <w:pPr>
        <w:pStyle w:val="FirstParagraph"/>
      </w:pPr>
      <w:r>
        <w:rPr>
          <w:i/>
          <w:iCs/>
        </w:rPr>
        <w:t xml:space="preserve">Wednesday 22 – Friday 24 July 2026. Exact clock time and time zone: to be confirmed.</w:t>
      </w:r>
    </w:p>
    <w:bookmarkStart w:id="12" w:name="X589ab2bc764fe79547c05affc60c1040b477ef4"/>
    <w:p>
      <w:pPr>
        <w:pStyle w:val="Heading2"/>
      </w:pPr>
      <w:r>
        <w:t xml:space="preserve">Session 1 — Wednesday 22 July, Afternoon (180 min)</w:t>
      </w:r>
    </w:p>
    <w:p>
      <w:pPr>
        <w:pStyle w:val="FirstParagraph"/>
      </w:pPr>
      <w:r>
        <w:rPr>
          <w:b/>
          <w:bCs/>
        </w:rPr>
        <w:t xml:space="preserve">Finance scenarios &amp; energy-efficiency scenarios — detailed definition</w:t>
      </w:r>
    </w:p>
    <w:p>
      <w:pPr>
        <w:pStyle w:val="BodyText"/>
      </w:pPr>
      <w:r>
        <w:t xml:space="preserve">You’ll produce: a fully documented finance-scenario metadata sheet (your assigned scenario from the six-scenario matrix) and a fully documented energy-efficiency scenario metadata sheet — both ready to run tomorrow morning.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Welcome, recap &amp; where things 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Rapid recap of on-site training outcomes; state what today, tomorrow morning, and Thursday afternoon will each produce; point to where financing and efficiency assumptions live in the repository (</w:t>
            </w:r>
            <w:r>
              <w:rPr>
                <w:rStyle w:val="VerbatimChar"/>
              </w:rPr>
              <w:t xml:space="preserve">docs/financing_pathway.md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docs/energy_efficiency_pathway.md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ExcelFiles/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Why financing design matters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Three reasons financing design is a first-order determinant of transition speed and cost: affordability of public investment, investment crowd-in via revenue recycling, and policy credibility.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The six-scenario finance matrix, in full detail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Baseline public financing rate (8%), concessional-loan variant (−3pp), and revenue-recycling variant, walked through mechanism by mechanism; the six-scenario matrix (PDP8/NZ × Base/Concessional/Recycle) and the comparison rule — concessional/recycling variants compare within the same emissions pathway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Draft your finance-scenario metadata sheet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Your group is assigned one of the six scenarios and documents it in full: label, mechanism, file edits needed, variables changed, time path, expected effects, indicators to check, caveats, owner,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The energy-efficiency &amp; demand-side-management scenario, in full detail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Narrative and core modeling channels (lower energy intensity, reduced peak demand, lower fuel/electricity imports); quantified 2030 savings potential (≈7.4% manufacturing, ≈5.1% services/commercial, ≈11.6% households); quantified investment need (≈USD 361 million/year, ≈0.076% of 2024 GDP); the documented rebound effect.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Draft your energy-efficiency scenario metadata sheet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In groups, document the efficiency scenario using the same metadata structure as Block 4: mechanism, sector-specific assumptions and required inputs, affected sectors, time path, expected effects, indicators, caveats.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Wrap and preview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Confirm both metadata sheets are recorded; preview tomorrow morning’s hands-on run of both scenarios.</w:t>
            </w:r>
          </w:p>
        </w:tc>
      </w:tr>
    </w:tbl>
    <w:bookmarkEnd w:id="12"/>
    <w:bookmarkStart w:id="13" w:name="X81c90e6ce7f6792e483b541d017f2fdfc171d6b"/>
    <w:p>
      <w:pPr>
        <w:pStyle w:val="Heading2"/>
      </w:pPr>
      <w:r>
        <w:t xml:space="preserve">Session 2 — Thursday 23 July, Morning (180 min)</w:t>
      </w:r>
    </w:p>
    <w:p>
      <w:pPr>
        <w:pStyle w:val="FirstParagraph"/>
      </w:pPr>
      <w:r>
        <w:rPr>
          <w:b/>
          <w:bCs/>
        </w:rPr>
        <w:t xml:space="preserve">Calibration &amp; scenario hands-on — codebase navigation, Git/GitHub Desktop, debugging, AI-assisted VS Code</w:t>
      </w:r>
    </w:p>
    <w:p>
      <w:pPr>
        <w:pStyle w:val="BodyText"/>
      </w:pPr>
      <w:r>
        <w:t xml:space="preserve">You’ll produce: a calibration diagnostic note; a comparison chart and policy narrative covering both your finance scenario and the energy-efficiency scenario; a local repository cloned and committed to via GitHub Desktop.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Objective and setup 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Restate today’s expected outputs; confirm MATLAB, Dynare, and repository paths are working.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Codebase navigation &amp; version control with GitHub Desktop + VS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Locate one equation in</w:t>
            </w:r>
            <w:r>
              <w:t xml:space="preserve"> </w:t>
            </w:r>
            <w:r>
              <w:rPr>
                <w:rStyle w:val="VerbatimChar"/>
              </w:rPr>
              <w:t xml:space="preserve">ModFiles/</w:t>
            </w:r>
            <w:r>
              <w:t xml:space="preserve"> </w:t>
            </w:r>
            <w:r>
              <w:t xml:space="preserve">and trace it to the MATLAB helper in</w:t>
            </w:r>
            <w:r>
              <w:t xml:space="preserve"> </w:t>
            </w:r>
            <w:r>
              <w:rPr>
                <w:rStyle w:val="VerbatimChar"/>
              </w:rPr>
              <w:t xml:space="preserve">Functions/</w:t>
            </w:r>
            <w:r>
              <w:t xml:space="preserve"> </w:t>
            </w:r>
            <w:r>
              <w:t xml:space="preserve">that computes it; clone the repository and make your first commit using GitHub Desktop’s visual interface — no command line required; open the same repository in VS Code and use its Source Control panel alongside GitHub Desktop.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Baseline calibration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Guided execution of the baseline calibration; interpret diagnostics (residuals, convergence, accounting identities) as a 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Debugging common MATLAB/Dynare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Categorize a failure before trying a fix — path errors, missing/locked inputs, non-convergence, syntax errors — and work through one deliberately broken example together.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Run your finance scenario + the efficiency scenario, with AI-assisted VS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Run your assigned finance scenario against its matching base case, and run the energy-efficiency scenario against the PDP8 baseline, under identical settings; live demo of using an AI coding assistant in VS Code to locate, explain, and edit the script you’re working with.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Comparison table, chart &amp; narrative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Build a comparison table covering GDP, investment, emissions, and the finance- and efficiency-specific indicators from yesterday’s metadata sheets; turn it into one policy-facing chart with a short narrative: result, mechanism, policy implication, caveat.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Report-out and debrief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Fast report-out across groups; debrief questions.</w:t>
            </w:r>
          </w:p>
        </w:tc>
      </w:tr>
    </w:tbl>
    <w:bookmarkEnd w:id="13"/>
    <w:bookmarkStart w:id="14" w:name="Xdfa6c3086047a3a636da84b4757f0625615dbf0"/>
    <w:p>
      <w:pPr>
        <w:pStyle w:val="Heading2"/>
      </w:pPr>
      <w:r>
        <w:t xml:space="preserve">Session 3 — Thursday 23 July, Afternoon (180 min)</w:t>
      </w:r>
    </w:p>
    <w:p>
      <w:pPr>
        <w:pStyle w:val="FirstParagraph"/>
      </w:pPr>
      <w:r>
        <w:rPr>
          <w:b/>
          <w:bCs/>
        </w:rPr>
        <w:t xml:space="preserve">Reserve requirements — method and implementation</w:t>
      </w:r>
    </w:p>
    <w:p>
      <w:pPr>
        <w:pStyle w:val="BodyText"/>
      </w:pPr>
      <w:r>
        <w:t xml:space="preserve">You’ll produce: a documented MC = MB break-even walkthrough for one energy carrier, and an implementation plan describing how a reserve-requirement analysis would be built in the DGE-METRIC codebase.</w:t>
      </w:r>
    </w:p>
    <w:p>
      <w:pPr>
        <w:pStyle w:val="BodyText"/>
      </w:pPr>
      <w:r>
        <w:rPr>
          <w:i/>
          <w:iCs/>
        </w:rPr>
        <w:t xml:space="preserve">A note on scope: today’s method is illustrated using a separate, stylized model, not DGE-METRIC itself — DGE-METRIC’s own reserve-requirement analysis has not yet been built. Treat any specific number used today as illustrative of the method, not as a DGE-METRIC output or a Vietnam-specific policy figure.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Frame the question and the scope 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State the reserve-adequacy policy question: how much strategic reserve of an energy carrier is worth holding, given its cost and the crisis losses it avoids; restate the scope note above.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Connect Day 1–2 outputs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Map which of your finance-scenario and efficiency-scenario outputs from Wednesday and Thursday morning would feed into a reserve-adequacy analysis (energy-carrier demand, import dependence, GDP/investment/fiscal paths).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Break-even screening (Step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Walk through a break-even table and the marginal-cost-equals-marginal-benefit accounting logic used to screen reserve levels across carriers.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Validation and optimization (Steps 2–3)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Walk through how a screening result would be validated (shock test) and optimized (Monte Carlo welfare search), and discuss why illustrative results should not be read as settled conclusions.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Implementation: where this would live in DGE-METRIC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Worked pattern: which parts of a reserve-requirement analysis would be a post-processing script reading existing DGE-METRIC scenario/pathway outputs, versus a structural addition to</w:t>
            </w:r>
            <w:r>
              <w:t xml:space="preserve"> </w:t>
            </w:r>
            <w:r>
              <w:rPr>
                <w:rStyle w:val="VerbatimChar"/>
              </w:rPr>
              <w:t xml:space="preserve">ModFiles/</w:t>
            </w:r>
            <w:r>
              <w:t xml:space="preserve">/</w:t>
            </w:r>
            <w:r>
              <w:rPr>
                <w:rStyle w:val="VerbatimChar"/>
              </w:rPr>
              <w:t xml:space="preserve">Functions/</w:t>
            </w:r>
            <w:r>
              <w:t xml:space="preserve"> </w:t>
            </w:r>
            <w:r>
              <w:t xml:space="preserve">— the same structure-vs-calibration distinction used for model modification, applied to reserve requirements; what DGE-METRIC output variables would be needed once the formula is confirmed.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Draft your implementation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Choose one carrier from the break-even table; draft an implementation plan documenting the mechanism, the DGE-METRIC outputs it would need, where the logic would live in the codebase, and what remains</w:t>
            </w:r>
            <w:r>
              <w:t xml:space="preserve"> </w:t>
            </w:r>
            <w:r>
              <w:rPr>
                <w:rStyle w:val="VerbatimChar"/>
              </w:rPr>
              <w:t xml:space="preserve">[SME REVIEW NEEDED]</w:t>
            </w:r>
            <w:r>
              <w:t xml:space="preserve"> </w:t>
            </w:r>
            <w:r>
              <w:t xml:space="preserve">before this could run against DGE-METRIC.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Wrap and preview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Confirm your implementation plan is recorded; preview tomorrow morning’s guided lab, where you finish the analysis for your chosen carrier.</w:t>
            </w:r>
          </w:p>
        </w:tc>
      </w:tr>
    </w:tbl>
    <w:bookmarkEnd w:id="14"/>
    <w:bookmarkStart w:id="15" w:name="session-4-friday-24-july-morning-180-min"/>
    <w:p>
      <w:pPr>
        <w:pStyle w:val="Heading2"/>
      </w:pPr>
      <w:r>
        <w:t xml:space="preserve">Session 4 — Friday 24 July, Morning (180 min)</w:t>
      </w:r>
    </w:p>
    <w:p>
      <w:pPr>
        <w:pStyle w:val="FirstParagraph"/>
      </w:pPr>
      <w:r>
        <w:rPr>
          <w:b/>
          <w:bCs/>
        </w:rPr>
        <w:t xml:space="preserve">Guided open lab — applying the reserve-requirement method</w:t>
      </w:r>
    </w:p>
    <w:p>
      <w:pPr>
        <w:pStyle w:val="BodyText"/>
      </w:pPr>
      <w:r>
        <w:t xml:space="preserve">You’ll produce: a completed reserve-requirement analysis note for your chosen carrier — inputs, the MC = MB walkthrough, sensitivity considerations, and caveats.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Recap method and implementation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Recap yesterday afternoon’s MC = MB logic and your group’s implementation plan; confirm your chosen carrier and, where relevant, your own Day 1 pathway/scenario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Guided open lab, part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/>
          <w:p>
            <w:pPr>
              <w:pStyle w:val="Compact"/>
            </w:pPr>
            <w:r>
              <w:t xml:space="preserve">Work the break-even and validation logic by hand for your chosen carrier; identify which carrier(s) clear the lowest break-even bar and explain why in plain language; the facilitator circulates rather than presenting one worked example for the whole 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Guided open lab, part 2 — write it 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Finish your reserve-requirement analysis note: inputs used, the walkthrough, sensitivity notes (what would have to change for a conclusion to flip), and an explicit list of what is still</w:t>
            </w:r>
            <w:r>
              <w:t xml:space="preserve"> </w:t>
            </w:r>
            <w:r>
              <w:rPr>
                <w:rStyle w:val="VerbatimChar"/>
              </w:rPr>
              <w:t xml:space="preserve">[SME REVIEW NEEDED]</w:t>
            </w:r>
            <w:r>
              <w:t xml:space="preserve"> </w:t>
            </w:r>
            <w:r>
              <w:t xml:space="preserve">before this could inform an actual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Report-out and debrief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Fast report-out across groups; discuss trade-offs in a policy context.</w:t>
            </w:r>
          </w:p>
        </w:tc>
      </w:tr>
    </w:tbl>
    <w:bookmarkEnd w:id="15"/>
    <w:bookmarkStart w:id="16" w:name="X20ad8ac1561b3e152cd6d140ad625ed0cffcc7b"/>
    <w:p>
      <w:pPr>
        <w:pStyle w:val="Heading2"/>
      </w:pPr>
      <w:r>
        <w:t xml:space="preserve">Session 5 — Friday 24 July, Afternoon (180 min)</w:t>
      </w:r>
    </w:p>
    <w:p>
      <w:pPr>
        <w:pStyle w:val="FirstParagraph"/>
      </w:pPr>
      <w:r>
        <w:rPr>
          <w:b/>
          <w:bCs/>
        </w:rPr>
        <w:t xml:space="preserve">Calibration internals — modification &amp; sensitivity analysis, + course close</w:t>
      </w:r>
    </w:p>
    <w:p>
      <w:pPr>
        <w:pStyle w:val="BodyText"/>
      </w:pPr>
      <w:r>
        <w:t xml:space="preserve">You’ll produce: a sensitivity-analysis plan for one structural parameter (parameter, perturbation range, expected effect, output indicators to check); your personal independent-use checklist; a completed exit ticket.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What you’ll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Recap calibration workflow and why it matters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Recap the calibration workflow from source data to DGE-ready inputs, and why accounting coherence is the precondition for trusting any scenario comparison.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Calibration internals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Data inputs vs. structural parameters (discount factor, depreciation, elasticities of substitution, tax rates, adjustment costs); the calibration workbook structure; the IO calibration pipeline (</w:t>
            </w:r>
            <w:r>
              <w:rPr>
                <w:rStyle w:val="VerbatimChar"/>
              </w:rPr>
              <w:t xml:space="preserve">run_pipeline.m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split_utilities_sector.m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aggregate_for_dge.m</w:t>
            </w:r>
            <w:r>
              <w:t xml:space="preserve">) and its validation/audit outputs.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How to modify 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Changing a data input vs. a structural parameter — which files change (</w:t>
            </w:r>
            <w:r>
              <w:rPr>
                <w:rStyle w:val="VerbatimChar"/>
              </w:rPr>
              <w:t xml:space="preserve">ExcelFiles/</w:t>
            </w:r>
            <w:r>
              <w:t xml:space="preserve"> </w:t>
            </w:r>
            <w:r>
              <w:t xml:space="preserve">vs. a</w:t>
            </w:r>
            <w:r>
              <w:t xml:space="preserve"> </w:t>
            </w:r>
            <w:r>
              <w:rPr>
                <w:rStyle w:val="VerbatimChar"/>
              </w:rPr>
              <w:t xml:space="preserve">Functions/</w:t>
            </w:r>
            <w:r>
              <w:t xml:space="preserve"> </w:t>
            </w:r>
            <w:r>
              <w:t xml:space="preserve">helper), how to re-run and re-validate against the accounting-coherence checks before trusting the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Sensitivity analysis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One-at-a-time parameter perturbation: pick one structural parameter, perturb it by a defined amount, re-run, and compare outputs against the unperturbed baseline; why isolating one parameter at a time matters for interpretation; how to keep a sensitivity-analysis log. General good-practice methodology — flagged where it is not itself a DGE-METRIC-specific procedure.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Draft your sensitivity-analysis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In groups, pick one structural parameter, define a perturbation range, state your expected effect and which output indicators you’d check, and note any input you can’t source and must mark</w:t>
            </w:r>
            <w:r>
              <w:t xml:space="preserve"> </w:t>
            </w:r>
            <w:r>
              <w:rPr>
                <w:rStyle w:val="VerbatimChar"/>
              </w:rPr>
              <w:t xml:space="preserve">[SME REVIEW NEEDED]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Report-out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Fast report-out across groups.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Course close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Independent-use checklist (self-assessment: can you run, modify, and interpret a calibration and scenario on your own?); exit ticket (one calibration insight, one scenario-design practice, one reserve-requirement/policy-analysis habit, one remaining question); a short list of open institutional questions and next steps.</w:t>
            </w:r>
          </w:p>
        </w:tc>
      </w:tr>
    </w:tbl>
    <w:bookmarkEnd w:id="16"/>
    <w:bookmarkEnd w:id="17"/>
    <w:bookmarkStart w:id="18" w:name="before-you-join"/>
    <w:p>
      <w:pPr>
        <w:pStyle w:val="Heading1"/>
      </w:pPr>
      <w:r>
        <w:t xml:space="preserve">Before you join</w:t>
      </w:r>
    </w:p>
    <w:p>
      <w:pPr>
        <w:pStyle w:val="Compact"/>
        <w:numPr>
          <w:ilvl w:val="0"/>
          <w:numId w:val="1003"/>
        </w:numPr>
      </w:pPr>
      <w:r>
        <w:t xml:space="preserve">Confirm MATLAB and Dynare are installed and working.</w:t>
      </w:r>
    </w:p>
    <w:p>
      <w:pPr>
        <w:pStyle w:val="Compact"/>
        <w:numPr>
          <w:ilvl w:val="0"/>
          <w:numId w:val="1003"/>
        </w:numPr>
      </w:pPr>
      <w:r>
        <w:t xml:space="preserve">Confirm you can access the DGE-METRIC repository (access method to be confirmed by the course team).</w:t>
      </w:r>
    </w:p>
    <w:p>
      <w:pPr>
        <w:pStyle w:val="Compact"/>
        <w:numPr>
          <w:ilvl w:val="0"/>
          <w:numId w:val="1003"/>
        </w:numPr>
      </w:pPr>
      <w:r>
        <w:t xml:space="preserve">No pre-reading is required; a short recap opens Day 1.</w:t>
      </w:r>
    </w:p>
    <w:p>
      <w:pPr>
        <w:pStyle w:val="Compact"/>
        <w:numPr>
          <w:ilvl w:val="0"/>
          <w:numId w:val="1003"/>
        </w:numPr>
      </w:pPr>
      <w:r>
        <w:t xml:space="preserve">No Git, GitHub Desktop, or VS Code experience is required — all are introduced from scratch, using GitHub Desktop’s visual interface rather than the command line.</w:t>
      </w:r>
    </w:p>
    <w:bookmarkEnd w:id="18"/>
    <w:bookmarkStart w:id="19" w:name="how-to-register"/>
    <w:p>
      <w:pPr>
        <w:pStyle w:val="Heading1"/>
      </w:pPr>
      <w:r>
        <w:t xml:space="preserve">How to register</w:t>
      </w:r>
    </w:p>
    <w:p>
      <w:pPr>
        <w:pStyle w:val="FirstParagraph"/>
      </w:pPr>
      <w:r>
        <w:rPr>
          <w:i/>
          <w:iCs/>
        </w:rPr>
        <w:t xml:space="preserve">To be confirmed — registration link or contact person.</w:t>
      </w:r>
    </w:p>
    <w:bookmarkEnd w:id="19"/>
    <w:bookmarkStart w:id="20" w:name="questions"/>
    <w:p>
      <w:pPr>
        <w:pStyle w:val="Heading1"/>
      </w:pPr>
      <w:r>
        <w:t xml:space="preserve">Questions</w:t>
      </w:r>
    </w:p>
    <w:p>
      <w:pPr>
        <w:pStyle w:val="FirstParagraph"/>
      </w:pPr>
      <w:r>
        <w:rPr>
          <w:i/>
          <w:iCs/>
        </w:rPr>
        <w:t xml:space="preserve">To be confirmed — course contact name and email.</w:t>
      </w:r>
    </w:p>
    <w:bookmarkEnd w:id="20"/>
    <w:bookmarkStart w:id="21" w:name="a-note-on-support"/>
    <w:p>
      <w:pPr>
        <w:pStyle w:val="Heading1"/>
      </w:pPr>
      <w:r>
        <w:t xml:space="preserve">A note on support</w:t>
      </w:r>
    </w:p>
    <w:p>
      <w:pPr>
        <w:pStyle w:val="FirstParagraph"/>
      </w:pPr>
      <w:r>
        <w:t xml:space="preserve">Several participants asked about a teaching assistant, manuals/videos for later reference, and whether Octave could substitute for MATLAB. These are being followed up on separately and are not yet confirmed — please direct questions to the course contact above.</w:t>
      </w:r>
    </w:p>
    <w:p>
      <w:pPr>
        <w:pStyle w:val="BodyText"/>
      </w:pPr>
      <w:r>
        <w:rPr>
          <w:i/>
          <w:iCs/>
        </w:rPr>
        <w:t xml:space="preserve">This course continues numbering from the on-site training (Training Days 1–2/3), delivered online as Online Days 1–3. Block timings above are relative to each session’s start and will be mapped to confirmed clock times once the time zone question is resolved.</w:t>
      </w:r>
    </w:p>
    <w:bookmarkEnd w:id="21"/>
    <w:sectPr w:rsidR="00F47BA5" w:rsidSect="00034616">
      <w:pgSz w:h="15840" w:w="12240"/>
      <w:pgMar w:bottom="1020" w:footer="720" w:gutter="0" w:header="720" w:left="1247" w:right="1247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15785462" w:numId="1">
    <w:abstractNumId w:val="8"/>
  </w:num>
  <w:num w16cid:durableId="972716003" w:numId="2">
    <w:abstractNumId w:val="6"/>
  </w:num>
  <w:num w16cid:durableId="1761095052" w:numId="3">
    <w:abstractNumId w:val="5"/>
  </w:num>
  <w:num w16cid:durableId="1857232663" w:numId="4">
    <w:abstractNumId w:val="4"/>
  </w:num>
  <w:num w16cid:durableId="1395742789" w:numId="5">
    <w:abstractNumId w:val="7"/>
  </w:num>
  <w:num w16cid:durableId="855533121" w:numId="6">
    <w:abstractNumId w:val="3"/>
  </w:num>
  <w:num w16cid:durableId="119735191" w:numId="7">
    <w:abstractNumId w:val="2"/>
  </w:num>
  <w:num w16cid:durableId="1606618654" w:numId="8">
    <w:abstractNumId w:val="1"/>
  </w:num>
  <w:num w16cid:durableId="477495460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e0NDQyNzSxtDAzsjRW0lEKTi0uzszPAykwrAUAYaRYDywAAAA="/>
  </w:docVars>
  <w:rsids>
    <w:rsidRoot w:val="00B47730"/>
    <w:rsid w:val="00034616"/>
    <w:rsid w:val="0006063C"/>
    <w:rsid w:val="0015074B"/>
    <w:rsid w:val="00224D26"/>
    <w:rsid w:val="002924D1"/>
    <w:rsid w:val="0029639D"/>
    <w:rsid w:val="00326F90"/>
    <w:rsid w:val="00756B83"/>
    <w:rsid w:val="00AA1D8D"/>
    <w:rsid w:val="00B36177"/>
    <w:rsid w:val="00B47730"/>
    <w:rsid w:val="00CB0664"/>
    <w:rsid w:val="00F47BA5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Calibri" w:hAnsi="Calibri"/>
      <w:color w:val="1424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2026-07-13T17:18:35Z</dcterms:created>
  <dcterms:modified xsi:type="dcterms:W3CDTF">2026-07-13T17:18:35Z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