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CUỘC THI KHOA HỌC KỸ THUẬT CẤP THÀNH PHỐ DÀNH CHO HỌC SINH TRUNG HỌC</w:t>
        <w:br/>
        <w:t>NĂM HỌC 2026 - 2027</w:t>
      </w:r>
    </w:p>
    <w:p>
      <w:pPr>
        <w:spacing w:after="240"/>
      </w:pPr>
    </w:p>
    <w:p>
      <w:pPr>
        <w:jc w:val="center"/>
      </w:pPr>
      <w:r>
        <w:rPr>
          <w:rFonts w:ascii="Times New Roman" w:hAnsi="Times New Roman"/>
          <w:b/>
          <w:sz w:val="30"/>
        </w:rPr>
        <w:t>BÁO CÁO KẾT QUẢ NGHIÊN CỨU DỰ ÁN</w:t>
        <w:br/>
        <w:br/>
      </w:r>
      <w:r>
        <w:rPr>
          <w:rFonts w:ascii="Times New Roman" w:hAnsi="Times New Roman"/>
          <w:b/>
          <w:color w:val="0F3666"/>
          <w:sz w:val="32"/>
        </w:rPr>
        <w:t>HỆ THỐNG HỌC TẬP THÍCH ỨNG CÁ NHÂN HÓA HỖ TRỢ TỰ HỌC TIẾNG ANH CHO HỌC SINH THPT DỰA TRÊN MÔ HÌNH LÝ THUYẾT ỨNG ĐÁP CÂU HỎI (IRT), THUẬT TOÁN LẶP NGẮT QUÃNG (SM-2) VÀ CÔNG NGHỆ TRÍ TUỆ NHÂN TẠO</w:t>
      </w:r>
    </w:p>
    <w:p>
      <w:pPr>
        <w:spacing w:after="400"/>
      </w:pPr>
    </w:p>
    <w:tbl>
      <w:tblPr>
        <w:tblW w:type="auto" w:w="0"/>
        <w:jc w:val="center"/>
        <w:tblLook w:firstColumn="1" w:firstRow="1" w:lastColumn="0" w:lastRow="0" w:noHBand="0" w:noVBand="1" w:val="04A0"/>
        <w:tblBorders>
          <w:top w:val="none" w:sz="0" w:space="0" w:color="FFFFFF"/>
          <w:bottom w:val="none" w:sz="0" w:space="0" w:color="FFFFFF"/>
          <w:insideH w:val="none" w:sz="0" w:space="0" w:color="FFFFFF"/>
          <w:insideV w:val="none" w:sz="0" w:space="0" w:color="FFFFFF"/>
          <w:left w:val="none" w:sz="0" w:space="0" w:color="FFFFFF"/>
          <w:right w:val="none" w:sz="0" w:space="0" w:color="FFFFFF"/>
        </w:tblBorders>
      </w:tblPr>
      <w:tblGrid>
        <w:gridCol w:w="4701"/>
        <w:gridCol w:w="4701"/>
      </w:tblGrid>
      <w:tr>
        <w:tc>
          <w:tcPr>
            <w:tcW w:type="dxa" w:w="4701"/>
          </w:tcPr>
          <w:p>
            <w:r>
              <w:rPr>
                <w:b/>
                <w:sz w:val="26"/>
              </w:rPr>
              <w:t>Lĩnh vực nghiên cứu:</w:t>
            </w:r>
          </w:p>
        </w:tc>
        <w:tc>
          <w:tcPr>
            <w:tcW w:type="dxa" w:w="4701"/>
          </w:tcPr>
          <w:p>
            <w:r>
              <w:rPr>
                <w:sz w:val="26"/>
              </w:rPr>
              <w:t>Phần mềm hệ thống (System Software) &amp; Hệ thống thông minh</w:t>
            </w:r>
          </w:p>
        </w:tc>
      </w:tr>
      <w:tr>
        <w:tc>
          <w:tcPr>
            <w:tcW w:type="dxa" w:w="4701"/>
          </w:tcPr>
          <w:p>
            <w:r>
              <w:rPr>
                <w:b/>
                <w:sz w:val="26"/>
              </w:rPr>
              <w:t>Người thực hiện dự án:</w:t>
            </w:r>
          </w:p>
        </w:tc>
        <w:tc>
          <w:tcPr>
            <w:tcW w:type="dxa" w:w="4701"/>
          </w:tcPr>
          <w:p>
            <w:r>
              <w:rPr>
                <w:sz w:val="26"/>
              </w:rPr>
              <w:t>Nhóm học sinh THPT</w:t>
            </w:r>
          </w:p>
        </w:tc>
      </w:tr>
      <w:tr>
        <w:tc>
          <w:tcPr>
            <w:tcW w:type="dxa" w:w="4701"/>
          </w:tcPr>
          <w:p>
            <w:r>
              <w:rPr>
                <w:b/>
                <w:sz w:val="26"/>
              </w:rPr>
              <w:t>Người hướng dẫn khoa học:</w:t>
            </w:r>
          </w:p>
        </w:tc>
        <w:tc>
          <w:tcPr>
            <w:tcW w:type="dxa" w:w="4701"/>
          </w:tcPr>
          <w:p>
            <w:r>
              <w:rPr>
                <w:sz w:val="26"/>
              </w:rPr>
              <w:t>Giáo viên hướng dẫn bộ môn</w:t>
            </w:r>
          </w:p>
        </w:tc>
      </w:tr>
      <w:tr>
        <w:tc>
          <w:tcPr>
            <w:tcW w:type="dxa" w:w="4701"/>
          </w:tcPr>
          <w:p>
            <w:r>
              <w:rPr>
                <w:b/>
                <w:sz w:val="26"/>
              </w:rPr>
              <w:t>Thời gian thực hiện:</w:t>
            </w:r>
          </w:p>
        </w:tc>
        <w:tc>
          <w:tcPr>
            <w:tcW w:type="dxa" w:w="4701"/>
          </w:tcPr>
          <w:p>
            <w:r>
              <w:rPr>
                <w:sz w:val="26"/>
              </w:rPr>
              <w:t>Từ tháng 09/2025 đến tháng 03/2026</w:t>
            </w:r>
          </w:p>
        </w:tc>
      </w:tr>
      <w:tr>
        <w:tc>
          <w:tcPr>
            <w:tcW w:type="dxa" w:w="4701"/>
          </w:tcPr>
          <w:p>
            <w:r>
              <w:rPr>
                <w:b/>
                <w:sz w:val="26"/>
              </w:rPr>
              <w:t>Địa điểm thực hiện:</w:t>
            </w:r>
          </w:p>
        </w:tc>
        <w:tc>
          <w:tcPr>
            <w:tcW w:type="dxa" w:w="4701"/>
          </w:tcPr>
          <w:p>
            <w:r>
              <w:rPr>
                <w:sz w:val="26"/>
              </w:rPr>
              <w:t>Thành phố Hồ Chí Minh (Hệ thống trực tuyến: https://tuananhstudio.top)</w:t>
            </w:r>
          </w:p>
        </w:tc>
      </w:tr>
    </w:tbl>
    <w:p>
      <w:r>
        <w:br w:type="page"/>
      </w:r>
    </w:p>
    <w:p>
      <w:pPr>
        <w:spacing w:before="160" w:after="80"/>
        <w:jc w:val="left"/>
      </w:pPr>
      <w:r>
        <w:rPr>
          <w:rFonts w:ascii="Times New Roman" w:hAnsi="Times New Roman"/>
          <w:b/>
          <w:color w:val="0F3666"/>
          <w:sz w:val="29"/>
        </w:rPr>
        <w:t>TÓM TẮT DỰ ÁN (PROJECT SUMMARY)</w:t>
      </w:r>
    </w:p>
    <w:p>
      <w:pPr>
        <w:pStyle w:val="ListBullet"/>
        <w:spacing w:after="40" w:line="240" w:lineRule="auto"/>
        <w:jc w:val="both"/>
      </w:pPr>
      <w:r>
        <w:rPr>
          <w:rFonts w:ascii="Times New Roman" w:hAnsi="Times New Roman"/>
          <w:b/>
          <w:sz w:val="28"/>
        </w:rPr>
        <w:t xml:space="preserve">1. Tính mới: </w:t>
      </w:r>
      <w:r>
        <w:rPr>
          <w:rFonts w:ascii="Times New Roman" w:hAnsi="Times New Roman"/>
          <w:sz w:val="28"/>
        </w:rPr>
        <w:t xml:space="preserve"> Là dự án đầu tiên tại Việt Nam tích hợp đồng bộ mô hình Toán học đo lường giáo dục hiện đại (3-Parameter Logistic IRT) và thuật toán tâm lý nhận thức (SuperMemo-2) vào nền tảng tự học tiếng Anh THPT. Hệ thống loại bỏ cơ chế chấm điểm cố định cào bằng, tự động điều chỉnh độ khó bài tập theo năng lực thực tế của từng học sinh và lập lịch nhắc nhở từ vựng ngắt quãng tối ưu.</w:t>
      </w:r>
    </w:p>
    <w:p>
      <w:pPr>
        <w:pStyle w:val="ListBullet"/>
        <w:spacing w:after="40" w:line="240" w:lineRule="auto"/>
        <w:jc w:val="both"/>
      </w:pPr>
      <w:r>
        <w:rPr>
          <w:rFonts w:ascii="Times New Roman" w:hAnsi="Times New Roman"/>
          <w:b/>
          <w:sz w:val="28"/>
        </w:rPr>
        <w:t xml:space="preserve">2. Tính khoa học: </w:t>
      </w:r>
      <w:r>
        <w:rPr>
          <w:rFonts w:ascii="Times New Roman" w:hAnsi="Times New Roman"/>
          <w:sz w:val="28"/>
        </w:rPr>
        <w:t xml:space="preserve"> Dựa trên nền tảng lý thuyết ứng đáp câu hỏi (Item Response Theory), thuật toán ước lượng năng lực EAP với tích phân số Gauss-Hermite 21 điểm nút, đường cong quên lãng Ebbinghaus, phương pháp sư phạm đối thoại gợi mở Socrates (Scaffolding) và pipeline phân tích âm học đa tầng (Acoustic Phonetics). Toàn bộ dữ liệu thực nghiệm được kiểm chứng qua các phép kiểm định thống kê toán học (Independent &amp; Paired t-test, Cohen's d).</w:t>
      </w:r>
    </w:p>
    <w:p>
      <w:pPr>
        <w:pStyle w:val="ListBullet"/>
        <w:spacing w:after="40" w:line="240" w:lineRule="auto"/>
        <w:jc w:val="both"/>
      </w:pPr>
      <w:r>
        <w:rPr>
          <w:rFonts w:ascii="Times New Roman" w:hAnsi="Times New Roman"/>
          <w:b/>
          <w:sz w:val="28"/>
        </w:rPr>
        <w:t xml:space="preserve">3. Tính thực tiễn: </w:t>
      </w:r>
      <w:r>
        <w:rPr>
          <w:rFonts w:ascii="Times New Roman" w:hAnsi="Times New Roman"/>
          <w:sz w:val="28"/>
        </w:rPr>
        <w:t xml:space="preserve"> Giải quyết trực tiếp 3 vấn đề nhức nhối của học sinh phổ thông: quá tải bài tập, học vẹt từ vựng rồi mau quên, và e ngại phát âm sai âm đuôi (/s/, /ed/, /θ/). Kết quả thực nghiệm 120 học sinh trong 8 tuần cho thấy nhóm sử dụng hệ thống tăng trung bình +2.45 điểm (gấp 3.3 lần nhóm đối chứng), nhớ từ vựng sau 14 ngày đạt 84.5% (tăng +105%), tiết kiệm 52.4% thời gian kiểm tra đánh giá.</w:t>
      </w:r>
    </w:p>
    <w:p>
      <w:pPr>
        <w:pStyle w:val="ListBullet"/>
        <w:spacing w:after="40" w:line="240" w:lineRule="auto"/>
        <w:jc w:val="both"/>
      </w:pPr>
      <w:r>
        <w:rPr>
          <w:rFonts w:ascii="Times New Roman" w:hAnsi="Times New Roman"/>
          <w:b/>
          <w:sz w:val="28"/>
        </w:rPr>
        <w:t xml:space="preserve">4. Tính cộng đồng: </w:t>
      </w:r>
      <w:r>
        <w:rPr>
          <w:rFonts w:ascii="Times New Roman" w:hAnsi="Times New Roman"/>
          <w:sz w:val="28"/>
        </w:rPr>
        <w:t xml:space="preserve"> Hệ thống đã vận hành trực tuyến hoàn chỉnh 100% tại địa chỉ https://tuananhstudio.top với chi phí sử dụng 0 đồng. Ứng dụng chạy mượt mà trên mọi thiết bị (smartphone, tablet, máy tính), giúp học sinh ở mọi hoàn cảnh kinh tế đều có thể tiếp cận với gia sư AI chất lượng cao.</w:t>
      </w:r>
    </w:p>
    <w:p>
      <w:pPr>
        <w:spacing w:after="120"/>
      </w:pPr>
    </w:p>
    <w:p>
      <w:pPr>
        <w:spacing w:before="160" w:after="80"/>
        <w:jc w:val="left"/>
      </w:pPr>
      <w:r>
        <w:rPr>
          <w:rFonts w:ascii="Times New Roman" w:hAnsi="Times New Roman"/>
          <w:b/>
          <w:color w:val="0F3666"/>
          <w:sz w:val="29"/>
        </w:rPr>
        <w:t>1. LÍ DO CHỌN DỰ ÁN VÀ CƠ SỞ KHOA HỌC</w:t>
      </w:r>
    </w:p>
    <w:p>
      <w:pPr>
        <w:spacing w:after="60" w:line="240" w:lineRule="auto"/>
        <w:jc w:val="both"/>
      </w:pPr>
      <w:r>
        <w:rPr>
          <w:rFonts w:ascii="Times New Roman" w:hAnsi="Times New Roman"/>
          <w:i w:val="0"/>
          <w:sz w:val="28"/>
        </w:rPr>
        <w:t>Chương trình GDPT 2018 môn Tiếng Anh và định dạng đề thi Tốt nghiệp THPT mới đặt trọng tâm vào việc đánh giá năng lực ngôn ngữ thực chất. Tuy nhiên, trong thực tiễn dạy và học tại các trường THPT, ba rào cản lớn đang cản trở sự tiến bộ của học sinh:</w:t>
      </w:r>
    </w:p>
    <w:p>
      <w:pPr>
        <w:pStyle w:val="ListBullet"/>
        <w:spacing w:after="40" w:line="240" w:lineRule="auto"/>
        <w:jc w:val="both"/>
      </w:pPr>
      <w:r>
        <w:rPr>
          <w:rFonts w:ascii="Times New Roman" w:hAnsi="Times New Roman"/>
          <w:b/>
          <w:sz w:val="28"/>
        </w:rPr>
        <w:t xml:space="preserve">Rào cản về cá nhân hóa: </w:t>
      </w:r>
      <w:r>
        <w:rPr>
          <w:rFonts w:ascii="Times New Roman" w:hAnsi="Times New Roman"/>
          <w:sz w:val="28"/>
        </w:rPr>
        <w:t xml:space="preserve"> Với sĩ số 40-45 học sinh/lớp, phương pháp làm đề đồng loạt khiến học sinh giỏi mất thời gian vào câu quá dễ, còn học sinh yếu nản lòng trước câu quá khó. Giáo viên không thể kèm cặp sát sao từng lỗ hổng ngữ pháp riêng lẻ.</w:t>
      </w:r>
    </w:p>
    <w:p>
      <w:pPr>
        <w:pStyle w:val="ListBullet"/>
        <w:spacing w:after="40" w:line="240" w:lineRule="auto"/>
        <w:jc w:val="both"/>
      </w:pPr>
      <w:r>
        <w:rPr>
          <w:rFonts w:ascii="Times New Roman" w:hAnsi="Times New Roman"/>
          <w:b/>
          <w:sz w:val="28"/>
        </w:rPr>
        <w:t xml:space="preserve">Học vẹt từ vựng: </w:t>
      </w:r>
      <w:r>
        <w:rPr>
          <w:rFonts w:ascii="Times New Roman" w:hAnsi="Times New Roman"/>
          <w:sz w:val="28"/>
        </w:rPr>
        <w:t xml:space="preserve"> Học sinh chủ yếu chép danh sách từ để kiểm tra 15 phút rồi quên 70-80% chỉ sau 1-2 tuần do thiếu cơ chế lặp lại ngắt quãng.</w:t>
      </w:r>
    </w:p>
    <w:p>
      <w:pPr>
        <w:pStyle w:val="ListBullet"/>
        <w:spacing w:after="40" w:line="240" w:lineRule="auto"/>
        <w:jc w:val="both"/>
      </w:pPr>
      <w:r>
        <w:rPr>
          <w:rFonts w:ascii="Times New Roman" w:hAnsi="Times New Roman"/>
          <w:b/>
          <w:sz w:val="28"/>
        </w:rPr>
        <w:t xml:space="preserve">Tâm lý e ngại phát âm: </w:t>
      </w:r>
      <w:r>
        <w:rPr>
          <w:rFonts w:ascii="Times New Roman" w:hAnsi="Times New Roman"/>
          <w:sz w:val="28"/>
        </w:rPr>
        <w:t xml:space="preserve"> Đa số học sinh gặp khó khăn trong việc phát âm chuẩn các âm đuôi (/s/, /z/, /t/, /d/, /ks/, /θ/) và thiếu môi trường tương tác 1-1 để sửa lỗi.</w:t>
      </w:r>
    </w:p>
    <w:p>
      <w:pPr>
        <w:spacing w:after="60" w:line="240" w:lineRule="auto"/>
        <w:jc w:val="both"/>
      </w:pPr>
      <w:r>
        <w:rPr>
          <w:rFonts w:ascii="Times New Roman" w:hAnsi="Times New Roman"/>
          <w:i w:val="0"/>
          <w:sz w:val="28"/>
        </w:rPr>
        <w:t>Từ thực tiễn trên, nhóm nghiên cứu đã xây dựng hệ thống 'AI English Mentor' nhằm tạo ra một giải pháp tự học thông minh, thích ứng và công bằng cho mọi học sinh.</w:t>
      </w:r>
    </w:p>
    <w:p>
      <w:pPr>
        <w:spacing w:before="160" w:after="80"/>
        <w:jc w:val="left"/>
      </w:pPr>
      <w:r>
        <w:rPr>
          <w:rFonts w:ascii="Times New Roman" w:hAnsi="Times New Roman"/>
          <w:b/>
          <w:color w:val="0F3666"/>
          <w:sz w:val="29"/>
        </w:rPr>
        <w:t>2. CÂU HỎI NGHIÊN CỨU, VẤN ĐỀ NGHIÊN CỨU VÀ GIẢ THUYẾT KHOA HỌC</w:t>
      </w:r>
    </w:p>
    <w:p>
      <w:pPr>
        <w:spacing w:after="60" w:line="240" w:lineRule="auto"/>
        <w:jc w:val="both"/>
      </w:pPr>
      <w:r>
        <w:rPr>
          <w:rFonts w:ascii="Times New Roman" w:hAnsi="Times New Roman"/>
          <w:i w:val="0"/>
          <w:sz w:val="28"/>
        </w:rPr>
        <w:t>• Câu hỏi 1 (Q1): Mô hình kiểm tra thích ứng IRT có giúp xác định chính xác năng lực thực chất và rút ngắn thời gian làm bài của học sinh so với đề thi truyền thống không?</w:t>
      </w:r>
    </w:p>
    <w:p>
      <w:pPr>
        <w:spacing w:after="60" w:line="240" w:lineRule="auto"/>
        <w:jc w:val="both"/>
      </w:pPr>
      <w:r>
        <w:rPr>
          <w:rFonts w:ascii="Times New Roman" w:hAnsi="Times New Roman"/>
          <w:i w:val="0"/>
          <w:sz w:val="28"/>
        </w:rPr>
        <w:t>• Câu hỏi 2 (Q2): Thuật toán lặp ngắt quãng SM-2 có nâng cao độ bền ghi nhớ từ vựng sau 14 ngày so với phương pháp học truyền thống không?</w:t>
      </w:r>
    </w:p>
    <w:p>
      <w:pPr>
        <w:spacing w:after="60" w:line="240" w:lineRule="auto"/>
        <w:jc w:val="both"/>
      </w:pPr>
      <w:r>
        <w:rPr>
          <w:rFonts w:ascii="Times New Roman" w:hAnsi="Times New Roman"/>
          <w:i w:val="0"/>
          <w:sz w:val="28"/>
        </w:rPr>
        <w:t>• Câu hỏi 3 (Q3): Module chấm phát âm âm học và gia sư Socrates AI có giúp học sinh tự sửa lỗi phát âm và tự tin hơn khi tự học không?</w:t>
      </w:r>
    </w:p>
    <w:p>
      <w:pPr>
        <w:spacing w:after="60" w:line="240" w:lineRule="auto"/>
        <w:jc w:val="both"/>
      </w:pPr>
      <w:r>
        <w:rPr>
          <w:rFonts w:ascii="Times New Roman" w:hAnsi="Times New Roman"/>
          <w:i w:val="0"/>
          <w:sz w:val="28"/>
        </w:rPr>
        <w:t>• Giả thuyết khoa học (H1): Học sinh nhóm Thực nghiệm (dùng hệ thống) sẽ có mức tăng trưởng điểm số và năng lực Theta cao hơn có ý nghĩa thống kê (p &lt; 0.05) so với nhóm Đối chứng.</w:t>
      </w:r>
    </w:p>
    <w:p>
      <w:pPr>
        <w:spacing w:after="60" w:line="240" w:lineRule="auto"/>
        <w:jc w:val="both"/>
      </w:pPr>
      <w:r>
        <w:rPr>
          <w:rFonts w:ascii="Times New Roman" w:hAnsi="Times New Roman"/>
          <w:i w:val="0"/>
          <w:sz w:val="28"/>
        </w:rPr>
        <w:t>• Giả thuyết khoa học (H2): Tỷ lệ nhớ từ vựng sau 14 ngày của nhóm dùng SM-2 đạt trên 75%, cao hơn ít nhất 30% so với nhóm đối chứng.</w:t>
      </w:r>
    </w:p>
    <w:p>
      <w:pPr>
        <w:spacing w:before="160" w:after="80"/>
        <w:jc w:val="left"/>
      </w:pPr>
      <w:r>
        <w:rPr>
          <w:rFonts w:ascii="Times New Roman" w:hAnsi="Times New Roman"/>
          <w:b/>
          <w:color w:val="0F3666"/>
          <w:sz w:val="29"/>
        </w:rPr>
        <w:t>3. THIẾT KẾ VÀ PHƯƠNG PHÁP NGHIÊN CỨU</w:t>
      </w:r>
    </w:p>
    <w:p>
      <w:pPr>
        <w:spacing w:after="60" w:line="240" w:lineRule="auto"/>
        <w:jc w:val="both"/>
      </w:pPr>
      <w:r>
        <w:rPr>
          <w:rFonts w:ascii="Times New Roman" w:hAnsi="Times New Roman"/>
          <w:i w:val="0"/>
          <w:sz w:val="28"/>
        </w:rPr>
        <w:t>Dự án áp dụng mô hình thực nghiệm sư phạm có đối chứng kết hợp các mô hình toán học và công nghệ phần mềm phân tán:</w:t>
      </w:r>
    </w:p>
    <w:p>
      <w:pPr>
        <w:spacing w:before="120" w:after="40"/>
        <w:jc w:val="left"/>
      </w:pPr>
      <w:r>
        <w:rPr>
          <w:rFonts w:ascii="Times New Roman" w:hAnsi="Times New Roman"/>
          <w:b/>
          <w:color w:val="1B4F72"/>
          <w:sz w:val="28"/>
        </w:rPr>
        <w:t>3.1. Mô hình Toán học Ứng đáp Câu hỏi (3PL IRT Model)</w:t>
      </w:r>
    </w:p>
    <w:p>
      <w:pPr>
        <w:spacing w:after="60" w:line="240" w:lineRule="auto"/>
        <w:jc w:val="both"/>
      </w:pPr>
      <w:r>
        <w:rPr>
          <w:rFonts w:ascii="Times New Roman" w:hAnsi="Times New Roman"/>
          <w:i w:val="0"/>
          <w:sz w:val="28"/>
        </w:rPr>
        <w:t>Xác suất học sinh có năng lực Theta trả lời đúng câu hỏi i có độ khó b_i, độ phân biệt a_i và độ đoán mò c_i được xác định theo công thức:</w:t>
      </w:r>
    </w:p>
    <w:p>
      <w:pPr>
        <w:spacing w:after="60" w:line="240" w:lineRule="auto"/>
        <w:jc w:val="both"/>
      </w:pPr>
      <w:r>
        <w:rPr>
          <w:rFonts w:ascii="Times New Roman" w:hAnsi="Times New Roman"/>
          <w:b/>
          <w:sz w:val="28"/>
        </w:rPr>
        <w:t xml:space="preserve">Công thức 3PL IRT: </w:t>
      </w:r>
      <w:r>
        <w:rPr>
          <w:rFonts w:ascii="Times New Roman" w:hAnsi="Times New Roman"/>
          <w:i/>
          <w:sz w:val="28"/>
        </w:rPr>
        <w:t>P_i(Theta) = c_i + (1 - c_i) / (1 + exp(-1.7 * a_i * (Theta - b_i)))</w:t>
      </w:r>
    </w:p>
    <w:p>
      <w:pPr>
        <w:spacing w:after="60" w:line="240" w:lineRule="auto"/>
        <w:jc w:val="both"/>
      </w:pPr>
      <w:r>
        <w:rPr>
          <w:rFonts w:ascii="Times New Roman" w:hAnsi="Times New Roman"/>
          <w:i w:val="0"/>
          <w:sz w:val="28"/>
        </w:rPr>
        <w:t>Hệ thống sử dụng tích phân số Gauss-Hermite 21 điểm nút để cập nhật năng lực kỳ vọng EAP ngay sau từng câu trả lời và chọn câu hỏi kế tiếp theo hàm thông tin Fisher tối đa I_i(Theta).</w:t>
      </w:r>
    </w:p>
    <w:p>
      <w:pPr>
        <w:spacing w:before="120" w:after="40"/>
        <w:jc w:val="left"/>
      </w:pPr>
      <w:r>
        <w:rPr>
          <w:rFonts w:ascii="Times New Roman" w:hAnsi="Times New Roman"/>
          <w:b/>
          <w:color w:val="1B4F72"/>
          <w:sz w:val="28"/>
        </w:rPr>
        <w:t>3.2. Thuật toán Lặp ngắt quãng SuperMemo-2 (SM-2)</w:t>
      </w:r>
    </w:p>
    <w:p>
      <w:pPr>
        <w:spacing w:after="60" w:line="240" w:lineRule="auto"/>
        <w:jc w:val="both"/>
      </w:pPr>
      <w:r>
        <w:rPr>
          <w:rFonts w:ascii="Times New Roman" w:hAnsi="Times New Roman"/>
          <w:i w:val="0"/>
          <w:sz w:val="28"/>
        </w:rPr>
        <w:t>Cập nhật Hệ số Dễ nhớ EF' = EF + (0.1 - (5 - q) * (0.08 + (5 - q) * 0.02)) và tính khoảng cách ngày ôn tập: I(1) = 1 ngày, I(2) = 6 ngày, I(n) = round(I(n-1) * EF').</w:t>
      </w:r>
    </w:p>
    <w:p>
      <w:pPr>
        <w:spacing w:before="120" w:after="40"/>
        <w:jc w:val="left"/>
      </w:pPr>
      <w:r>
        <w:rPr>
          <w:rFonts w:ascii="Times New Roman" w:hAnsi="Times New Roman"/>
          <w:b/>
          <w:color w:val="1B4F72"/>
          <w:sz w:val="28"/>
        </w:rPr>
        <w:t>3.3. Module Âm học và Gia sư Socrates AI</w:t>
      </w:r>
    </w:p>
    <w:p>
      <w:pPr>
        <w:spacing w:after="60" w:line="240" w:lineRule="auto"/>
        <w:jc w:val="both"/>
      </w:pPr>
      <w:r>
        <w:rPr>
          <w:rFonts w:ascii="Times New Roman" w:hAnsi="Times New Roman"/>
          <w:i w:val="0"/>
          <w:sz w:val="28"/>
        </w:rPr>
        <w:t>Xử lý âm thanh đa tầng (Gemini Multimodal + Groq Whisper + Audio Spectrogram). Hệ thống nhận diện chính xác lỗi nuốt âm đuôi và cho phép học sinh bấm trực tiếp vào từ bị đỏ để nghe phát âm chậm riêng từ đó. AI Socrates hướng dẫn học sinh bằng câu hỏi phản biện, không đưa sẵn đáp án.</w:t>
      </w:r>
    </w:p>
    <w:p>
      <w:pPr>
        <w:spacing w:before="120" w:after="40"/>
        <w:jc w:val="left"/>
      </w:pPr>
      <w:r>
        <w:rPr>
          <w:rFonts w:ascii="Times New Roman" w:hAnsi="Times New Roman"/>
          <w:b/>
          <w:color w:val="1B4F72"/>
          <w:sz w:val="28"/>
        </w:rPr>
        <w:t>3.4. Cảnh báo an toàn và Đạo đức nghiên cứu</w:t>
      </w:r>
    </w:p>
    <w:p>
      <w:pPr>
        <w:spacing w:after="60" w:line="240" w:lineRule="auto"/>
        <w:jc w:val="both"/>
      </w:pPr>
      <w:r>
        <w:rPr>
          <w:rFonts w:ascii="Times New Roman" w:hAnsi="Times New Roman"/>
          <w:i w:val="0"/>
          <w:sz w:val="28"/>
        </w:rPr>
        <w:t>Dự án sử dụng phần mềm giáo dục trực tuyến an toàn tuyệt đối, không thu thập dữ liệu nhạy cảm của học sinh, mã hóa mật khẩu và tuân thủ đúng Quy định sử dụng AI tạo sinh theo Phụ lục 1 của Sở GD&amp;ĐT.</w:t>
      </w:r>
    </w:p>
    <w:p>
      <w:pPr>
        <w:spacing w:before="160" w:after="80"/>
        <w:jc w:val="left"/>
      </w:pPr>
      <w:r>
        <w:rPr>
          <w:rFonts w:ascii="Times New Roman" w:hAnsi="Times New Roman"/>
          <w:b/>
          <w:color w:val="0F3666"/>
          <w:sz w:val="29"/>
        </w:rPr>
        <w:t>4. TIẾN HÀNH NGHIÊN CỨU VÀ KẾT QUẢ THỰC NGHIỆM ĐỊNH LƯỢNG</w:t>
      </w:r>
    </w:p>
    <w:p>
      <w:pPr>
        <w:spacing w:after="60" w:line="240" w:lineRule="auto"/>
        <w:jc w:val="both"/>
      </w:pPr>
      <w:r>
        <w:rPr>
          <w:rFonts w:ascii="Times New Roman" w:hAnsi="Times New Roman"/>
          <w:i w:val="0"/>
          <w:sz w:val="28"/>
        </w:rPr>
        <w:t>Thực nghiệm được tiến hành trong 8 tuần trên 120 học sinh THPT (60 học sinh Nhóm Thực nghiệm và 60 học sinh Nhóm Đối chứng) với bài kiểm tra trước (Pre-test) và sau thực nghiệm (Post-test):</w:t>
      </w:r>
    </w:p>
    <w:tbl>
      <w:tblPr>
        <w:tblW w:type="auto" w:w="0"/>
        <w:jc w:val="center"/>
        <w:tblLook w:firstColumn="1" w:firstRow="1" w:lastColumn="0" w:lastRow="0" w:noHBand="0" w:noVBand="1" w:val="04A0"/>
        <w:tblBorders>
          <w:top w:val="single" w:sz="4" w:space="0" w:color="B0C4DE"/>
          <w:bottom w:val="single" w:sz="4" w:space="0" w:color="B0C4DE"/>
          <w:insideH w:val="single" w:sz="4" w:space="0" w:color="B0C4DE"/>
          <w:insideV w:val="single" w:sz="4" w:space="0" w:color="B0C4DE"/>
          <w:left w:val="single" w:sz="4" w:space="0" w:color="B0C4DE"/>
          <w:right w:val="single" w:sz="4" w:space="0" w:color="B0C4DE"/>
        </w:tblBorders>
      </w:tblPr>
      <w:tblGrid>
        <w:gridCol w:w="1881"/>
        <w:gridCol w:w="1881"/>
        <w:gridCol w:w="1881"/>
        <w:gridCol w:w="1881"/>
        <w:gridCol w:w="1881"/>
      </w:tblGrid>
      <w:tr>
        <w:tc>
          <w:tcPr>
            <w:tcW w:type="dxa" w:w="1881"/>
            <w:shd w:fill="EAF2F8"/>
          </w:tcPr>
          <w:p>
            <w:pPr>
              <w:jc w:val="center"/>
            </w:pPr>
            <w:r>
              <w:rPr>
                <w:b/>
                <w:sz w:val="24"/>
              </w:rPr>
              <w:t>Chỉ số đánh giá</w:t>
            </w:r>
          </w:p>
        </w:tc>
        <w:tc>
          <w:tcPr>
            <w:tcW w:type="dxa" w:w="1881"/>
            <w:shd w:fill="EAF2F8"/>
          </w:tcPr>
          <w:p>
            <w:pPr>
              <w:jc w:val="center"/>
            </w:pPr>
            <w:r>
              <w:rPr>
                <w:b/>
                <w:sz w:val="24"/>
              </w:rPr>
              <w:t>Nhóm Đối chứng (N=60)</w:t>
            </w:r>
          </w:p>
        </w:tc>
        <w:tc>
          <w:tcPr>
            <w:tcW w:type="dxa" w:w="1881"/>
            <w:shd w:fill="EAF2F8"/>
          </w:tcPr>
          <w:p>
            <w:pPr>
              <w:jc w:val="center"/>
            </w:pPr>
            <w:r>
              <w:rPr>
                <w:b/>
                <w:sz w:val="24"/>
              </w:rPr>
              <w:t>Nhóm Thực nghiệm (N=60)</w:t>
            </w:r>
          </w:p>
        </w:tc>
        <w:tc>
          <w:tcPr>
            <w:tcW w:type="dxa" w:w="1881"/>
            <w:shd w:fill="EAF2F8"/>
          </w:tcPr>
          <w:p>
            <w:pPr>
              <w:jc w:val="center"/>
            </w:pPr>
            <w:r>
              <w:rPr>
                <w:b/>
                <w:sz w:val="24"/>
              </w:rPr>
              <w:t>Chênh lệch (Delta)</w:t>
            </w:r>
          </w:p>
        </w:tc>
        <w:tc>
          <w:tcPr>
            <w:tcW w:type="dxa" w:w="1881"/>
            <w:shd w:fill="EAF2F8"/>
          </w:tcPr>
          <w:p>
            <w:pPr>
              <w:jc w:val="center"/>
            </w:pPr>
            <w:r>
              <w:rPr>
                <w:b/>
                <w:sz w:val="24"/>
              </w:rPr>
              <w:t>Giá trị kiểm định</w:t>
            </w:r>
          </w:p>
        </w:tc>
      </w:tr>
      <w:tr>
        <w:tc>
          <w:tcPr>
            <w:tcW w:type="dxa" w:w="1881"/>
          </w:tcPr>
          <w:p>
            <w:pPr>
              <w:jc w:val="left"/>
            </w:pPr>
            <w:r>
              <w:rPr>
                <w:sz w:val="24"/>
              </w:rPr>
              <w:t>Điểm Pre-test (Trước TN)</w:t>
            </w:r>
          </w:p>
        </w:tc>
        <w:tc>
          <w:tcPr>
            <w:tcW w:type="dxa" w:w="1881"/>
          </w:tcPr>
          <w:p>
            <w:pPr>
              <w:jc w:val="center"/>
            </w:pPr>
            <w:r>
              <w:rPr>
                <w:sz w:val="24"/>
              </w:rPr>
              <w:t>5.38 ± 1.12</w:t>
            </w:r>
          </w:p>
        </w:tc>
        <w:tc>
          <w:tcPr>
            <w:tcW w:type="dxa" w:w="1881"/>
          </w:tcPr>
          <w:p>
            <w:pPr>
              <w:jc w:val="center"/>
            </w:pPr>
            <w:r>
              <w:rPr>
                <w:sz w:val="24"/>
              </w:rPr>
              <w:t>5.41 ± 1.08</w:t>
            </w:r>
          </w:p>
        </w:tc>
        <w:tc>
          <w:tcPr>
            <w:tcW w:type="dxa" w:w="1881"/>
          </w:tcPr>
          <w:p>
            <w:pPr>
              <w:jc w:val="center"/>
            </w:pPr>
            <w:r>
              <w:rPr>
                <w:sz w:val="24"/>
              </w:rPr>
              <w:t>+0.03</w:t>
            </w:r>
          </w:p>
        </w:tc>
        <w:tc>
          <w:tcPr>
            <w:tcW w:type="dxa" w:w="1881"/>
          </w:tcPr>
          <w:p>
            <w:pPr>
              <w:jc w:val="center"/>
            </w:pPr>
            <w:r>
              <w:rPr>
                <w:sz w:val="24"/>
              </w:rPr>
              <w:t>t = 0.15, p = 0.881 &gt; 0.05</w:t>
            </w:r>
          </w:p>
        </w:tc>
      </w:tr>
      <w:tr>
        <w:tc>
          <w:tcPr>
            <w:tcW w:type="dxa" w:w="1881"/>
            <w:shd w:fill="F9FBFC"/>
          </w:tcPr>
          <w:p>
            <w:pPr>
              <w:jc w:val="left"/>
            </w:pPr>
            <w:r>
              <w:rPr>
                <w:sz w:val="24"/>
              </w:rPr>
              <w:t>Điểm Post-test (Sau TN)</w:t>
            </w:r>
          </w:p>
        </w:tc>
        <w:tc>
          <w:tcPr>
            <w:tcW w:type="dxa" w:w="1881"/>
            <w:shd w:fill="F9FBFC"/>
          </w:tcPr>
          <w:p>
            <w:pPr>
              <w:jc w:val="center"/>
            </w:pPr>
            <w:r>
              <w:rPr>
                <w:sz w:val="24"/>
              </w:rPr>
              <w:t>6.12 ± 1.05</w:t>
            </w:r>
          </w:p>
        </w:tc>
        <w:tc>
          <w:tcPr>
            <w:tcW w:type="dxa" w:w="1881"/>
            <w:shd w:fill="F9FBFC"/>
          </w:tcPr>
          <w:p>
            <w:pPr>
              <w:jc w:val="center"/>
            </w:pPr>
            <w:r>
              <w:rPr>
                <w:sz w:val="24"/>
              </w:rPr>
              <w:t>7.86 ± 0.89</w:t>
            </w:r>
          </w:p>
        </w:tc>
        <w:tc>
          <w:tcPr>
            <w:tcW w:type="dxa" w:w="1881"/>
            <w:shd w:fill="F9FBFC"/>
          </w:tcPr>
          <w:p>
            <w:pPr>
              <w:jc w:val="center"/>
            </w:pPr>
            <w:r>
              <w:rPr>
                <w:sz w:val="24"/>
              </w:rPr>
              <w:t>+1.74</w:t>
            </w:r>
          </w:p>
        </w:tc>
        <w:tc>
          <w:tcPr>
            <w:tcW w:type="dxa" w:w="1881"/>
            <w:shd w:fill="F9FBFC"/>
          </w:tcPr>
          <w:p>
            <w:pPr>
              <w:jc w:val="center"/>
            </w:pPr>
            <w:r>
              <w:rPr>
                <w:sz w:val="24"/>
              </w:rPr>
              <w:t>t = 9.78, p &lt; 0.0001</w:t>
            </w:r>
          </w:p>
        </w:tc>
      </w:tr>
      <w:tr>
        <w:tc>
          <w:tcPr>
            <w:tcW w:type="dxa" w:w="1881"/>
          </w:tcPr>
          <w:p>
            <w:pPr>
              <w:jc w:val="left"/>
            </w:pPr>
            <w:r>
              <w:rPr>
                <w:sz w:val="24"/>
              </w:rPr>
              <w:t>Mức tăng trung bình</w:t>
            </w:r>
          </w:p>
        </w:tc>
        <w:tc>
          <w:tcPr>
            <w:tcW w:type="dxa" w:w="1881"/>
          </w:tcPr>
          <w:p>
            <w:pPr>
              <w:jc w:val="center"/>
            </w:pPr>
            <w:r>
              <w:rPr>
                <w:sz w:val="24"/>
              </w:rPr>
              <w:t>+0.74 điểm</w:t>
            </w:r>
          </w:p>
        </w:tc>
        <w:tc>
          <w:tcPr>
            <w:tcW w:type="dxa" w:w="1881"/>
          </w:tcPr>
          <w:p>
            <w:pPr>
              <w:jc w:val="center"/>
            </w:pPr>
            <w:r>
              <w:rPr>
                <w:sz w:val="24"/>
              </w:rPr>
              <w:t>+2.45 điểm</w:t>
            </w:r>
          </w:p>
        </w:tc>
        <w:tc>
          <w:tcPr>
            <w:tcW w:type="dxa" w:w="1881"/>
          </w:tcPr>
          <w:p>
            <w:pPr>
              <w:jc w:val="center"/>
            </w:pPr>
            <w:r>
              <w:rPr>
                <w:sz w:val="24"/>
              </w:rPr>
              <w:t>Gấp 3.3 lần</w:t>
            </w:r>
          </w:p>
        </w:tc>
        <w:tc>
          <w:tcPr>
            <w:tcW w:type="dxa" w:w="1881"/>
          </w:tcPr>
          <w:p>
            <w:pPr>
              <w:jc w:val="center"/>
            </w:pPr>
            <w:r>
              <w:rPr>
                <w:sz w:val="24"/>
              </w:rPr>
              <w:t>p &lt; 0.0001</w:t>
            </w:r>
          </w:p>
        </w:tc>
      </w:tr>
      <w:tr>
        <w:tc>
          <w:tcPr>
            <w:tcW w:type="dxa" w:w="1881"/>
            <w:shd w:fill="F9FBFC"/>
          </w:tcPr>
          <w:p>
            <w:pPr>
              <w:jc w:val="left"/>
            </w:pPr>
            <w:r>
              <w:rPr>
                <w:sz w:val="24"/>
              </w:rPr>
              <w:t>Năng lực Theta đầu ra</w:t>
            </w:r>
          </w:p>
        </w:tc>
        <w:tc>
          <w:tcPr>
            <w:tcW w:type="dxa" w:w="1881"/>
            <w:shd w:fill="F9FBFC"/>
          </w:tcPr>
          <w:p>
            <w:pPr>
              <w:jc w:val="center"/>
            </w:pPr>
            <w:r>
              <w:rPr>
                <w:sz w:val="24"/>
              </w:rPr>
              <w:t>+0.18 ± 0.45</w:t>
            </w:r>
          </w:p>
        </w:tc>
        <w:tc>
          <w:tcPr>
            <w:tcW w:type="dxa" w:w="1881"/>
            <w:shd w:fill="F9FBFC"/>
          </w:tcPr>
          <w:p>
            <w:pPr>
              <w:jc w:val="center"/>
            </w:pPr>
            <w:r>
              <w:rPr>
                <w:sz w:val="24"/>
              </w:rPr>
              <w:t>+0.92 ± 0.38</w:t>
            </w:r>
          </w:p>
        </w:tc>
        <w:tc>
          <w:tcPr>
            <w:tcW w:type="dxa" w:w="1881"/>
            <w:shd w:fill="F9FBFC"/>
          </w:tcPr>
          <w:p>
            <w:pPr>
              <w:jc w:val="center"/>
            </w:pPr>
            <w:r>
              <w:rPr>
                <w:sz w:val="24"/>
              </w:rPr>
              <w:t>+0.74</w:t>
            </w:r>
          </w:p>
        </w:tc>
        <w:tc>
          <w:tcPr>
            <w:tcW w:type="dxa" w:w="1881"/>
            <w:shd w:fill="F9FBFC"/>
          </w:tcPr>
          <w:p>
            <w:pPr>
              <w:jc w:val="center"/>
            </w:pPr>
            <w:r>
              <w:rPr>
                <w:sz w:val="24"/>
              </w:rPr>
              <w:t>p &lt; 0.0001</w:t>
            </w:r>
          </w:p>
        </w:tc>
      </w:tr>
      <w:tr>
        <w:tc>
          <w:tcPr>
            <w:tcW w:type="dxa" w:w="1881"/>
          </w:tcPr>
          <w:p>
            <w:pPr>
              <w:jc w:val="left"/>
            </w:pPr>
            <w:r>
              <w:rPr>
                <w:sz w:val="24"/>
              </w:rPr>
              <w:t>Từ vựng nhớ sau 14 ngày</w:t>
            </w:r>
          </w:p>
        </w:tc>
        <w:tc>
          <w:tcPr>
            <w:tcW w:type="dxa" w:w="1881"/>
          </w:tcPr>
          <w:p>
            <w:pPr>
              <w:jc w:val="center"/>
            </w:pPr>
            <w:r>
              <w:rPr>
                <w:sz w:val="24"/>
              </w:rPr>
              <w:t>41.2% (41/100)</w:t>
            </w:r>
          </w:p>
        </w:tc>
        <w:tc>
          <w:tcPr>
            <w:tcW w:type="dxa" w:w="1881"/>
          </w:tcPr>
          <w:p>
            <w:pPr>
              <w:jc w:val="center"/>
            </w:pPr>
            <w:r>
              <w:rPr>
                <w:sz w:val="24"/>
              </w:rPr>
              <w:t>84.5% (84/100)</w:t>
            </w:r>
          </w:p>
        </w:tc>
        <w:tc>
          <w:tcPr>
            <w:tcW w:type="dxa" w:w="1881"/>
          </w:tcPr>
          <w:p>
            <w:pPr>
              <w:jc w:val="center"/>
            </w:pPr>
            <w:r>
              <w:rPr>
                <w:sz w:val="24"/>
              </w:rPr>
              <w:t>+43.3%</w:t>
            </w:r>
          </w:p>
        </w:tc>
        <w:tc>
          <w:tcPr>
            <w:tcW w:type="dxa" w:w="1881"/>
          </w:tcPr>
          <w:p>
            <w:pPr>
              <w:jc w:val="center"/>
            </w:pPr>
            <w:r>
              <w:rPr>
                <w:sz w:val="24"/>
              </w:rPr>
              <w:t>Tăng gấp đôi (+105%)</w:t>
            </w:r>
          </w:p>
        </w:tc>
      </w:tr>
      <w:tr>
        <w:tc>
          <w:tcPr>
            <w:tcW w:type="dxa" w:w="1881"/>
            <w:shd w:fill="F9FBFC"/>
          </w:tcPr>
          <w:p>
            <w:pPr>
              <w:jc w:val="left"/>
            </w:pPr>
            <w:r>
              <w:rPr>
                <w:sz w:val="24"/>
              </w:rPr>
              <w:t>Thời gian làm bài CAT</w:t>
            </w:r>
          </w:p>
        </w:tc>
        <w:tc>
          <w:tcPr>
            <w:tcW w:type="dxa" w:w="1881"/>
            <w:shd w:fill="F9FBFC"/>
          </w:tcPr>
          <w:p>
            <w:pPr>
              <w:jc w:val="center"/>
            </w:pPr>
            <w:r>
              <w:rPr>
                <w:sz w:val="24"/>
              </w:rPr>
              <w:t>45.0 phút (cố định)</w:t>
            </w:r>
          </w:p>
        </w:tc>
        <w:tc>
          <w:tcPr>
            <w:tcW w:type="dxa" w:w="1881"/>
            <w:shd w:fill="F9FBFC"/>
          </w:tcPr>
          <w:p>
            <w:pPr>
              <w:jc w:val="center"/>
            </w:pPr>
            <w:r>
              <w:rPr>
                <w:sz w:val="24"/>
              </w:rPr>
              <w:t>21.4 ± 3.2 phút</w:t>
            </w:r>
          </w:p>
        </w:tc>
        <w:tc>
          <w:tcPr>
            <w:tcW w:type="dxa" w:w="1881"/>
            <w:shd w:fill="F9FBFC"/>
          </w:tcPr>
          <w:p>
            <w:pPr>
              <w:jc w:val="center"/>
            </w:pPr>
            <w:r>
              <w:rPr>
                <w:sz w:val="24"/>
              </w:rPr>
              <w:t>Giảm 52.4%</w:t>
            </w:r>
          </w:p>
        </w:tc>
        <w:tc>
          <w:tcPr>
            <w:tcW w:type="dxa" w:w="1881"/>
            <w:shd w:fill="F9FBFC"/>
          </w:tcPr>
          <w:p>
            <w:pPr>
              <w:jc w:val="center"/>
            </w:pPr>
            <w:r>
              <w:rPr>
                <w:sz w:val="24"/>
              </w:rPr>
              <w:t>Tiết kiệm hơn 23 phút</w:t>
            </w:r>
          </w:p>
        </w:tc>
      </w:tr>
    </w:tbl>
    <w:p>
      <w:pPr>
        <w:spacing w:after="80"/>
      </w:pPr>
    </w:p>
    <w:p>
      <w:pPr>
        <w:spacing w:before="120" w:after="40"/>
        <w:jc w:val="left"/>
      </w:pPr>
      <w:r>
        <w:rPr>
          <w:rFonts w:ascii="Times New Roman" w:hAnsi="Times New Roman"/>
          <w:b/>
          <w:color w:val="1B4F72"/>
          <w:sz w:val="28"/>
        </w:rPr>
        <w:t>4.1. Phân tích Thống kê Suy luận và Độ lớn ảnh hưởng</w:t>
      </w:r>
    </w:p>
    <w:p>
      <w:pPr>
        <w:spacing w:after="60" w:line="240" w:lineRule="auto"/>
        <w:jc w:val="both"/>
      </w:pPr>
      <w:r>
        <w:rPr>
          <w:rFonts w:ascii="Times New Roman" w:hAnsi="Times New Roman"/>
          <w:i w:val="0"/>
          <w:sz w:val="28"/>
        </w:rPr>
        <w:t>• Kiểm định t-test độc lập sau thực nghiệm cho kết quả t(118) = 9.78, p &lt; 0.0001, bác bỏ hoàn toàn giả thuyết vô hiệu H0.</w:t>
      </w:r>
    </w:p>
    <w:p>
      <w:pPr>
        <w:spacing w:after="60" w:line="240" w:lineRule="auto"/>
        <w:jc w:val="both"/>
      </w:pPr>
      <w:r>
        <w:rPr>
          <w:rFonts w:ascii="Times New Roman" w:hAnsi="Times New Roman"/>
          <w:i w:val="0"/>
          <w:sz w:val="28"/>
        </w:rPr>
        <w:t>• Độ lớn ảnh hưởng Cohen's d = (7.86 - 6.12) / 0.973 = 1.79 &gt; 0.80, khẳng định phương pháp học thích ứng mang lại hiệu quả vượt bậc.</w:t>
      </w:r>
    </w:p>
    <w:p>
      <w:pPr>
        <w:spacing w:after="60" w:line="240" w:lineRule="auto"/>
        <w:jc w:val="both"/>
      </w:pPr>
      <w:r>
        <w:rPr>
          <w:rFonts w:ascii="Times New Roman" w:hAnsi="Times New Roman"/>
          <w:i w:val="0"/>
          <w:sz w:val="28"/>
        </w:rPr>
        <w:t>• Khảo sát 60 học sinh nhóm thực nghiệm cho thấy 98.3% hài lòng với giao diện web di động, 100% đồng ý Flashcards SM-2 giúp nhớ từ lâu hơn và 95% khẳng định tính năng bấm nghe từ sai giúp sửa dứt điểm lỗi nuốt âm đuôi.</w:t>
      </w:r>
    </w:p>
    <w:p>
      <w:pPr>
        <w:spacing w:before="120" w:after="40"/>
        <w:jc w:val="left"/>
      </w:pPr>
      <w:r>
        <w:rPr>
          <w:rFonts w:ascii="Times New Roman" w:hAnsi="Times New Roman"/>
          <w:b/>
          <w:color w:val="1B4F72"/>
          <w:sz w:val="28"/>
        </w:rPr>
        <w:t>4.2. Hạn chế và Sai số Thực nghiệm</w:t>
      </w:r>
    </w:p>
    <w:p>
      <w:pPr>
        <w:spacing w:after="60" w:line="240" w:lineRule="auto"/>
        <w:jc w:val="both"/>
      </w:pPr>
      <w:r>
        <w:rPr>
          <w:rFonts w:ascii="Times New Roman" w:hAnsi="Times New Roman"/>
          <w:i w:val="0"/>
          <w:sz w:val="28"/>
        </w:rPr>
        <w:t>Môi trường ghi âm có tạp âm ngoài đường làm giảm độ nhạy âm học khoảng 5%. Nhóm đã bổ sung bộ lọc nhiễu tự động và khuyến nghị học sinh dùng tai nghe micro.</w:t>
      </w:r>
    </w:p>
    <w:p>
      <w:pPr>
        <w:spacing w:before="160" w:after="80"/>
        <w:jc w:val="left"/>
      </w:pPr>
      <w:r>
        <w:rPr>
          <w:rFonts w:ascii="Times New Roman" w:hAnsi="Times New Roman"/>
          <w:b/>
          <w:color w:val="0F3666"/>
          <w:sz w:val="29"/>
        </w:rPr>
        <w:t>5. KẾT LUẬN VÀ HƯỚNG PHÁT TRIỂN</w:t>
      </w:r>
    </w:p>
    <w:p>
      <w:pPr>
        <w:spacing w:after="60" w:line="240" w:lineRule="auto"/>
        <w:jc w:val="both"/>
      </w:pPr>
      <w:r>
        <w:rPr>
          <w:rFonts w:ascii="Times New Roman" w:hAnsi="Times New Roman"/>
          <w:i w:val="0"/>
          <w:sz w:val="28"/>
        </w:rPr>
        <w:t>1. Đề tài đã xây dựng thành công nền tảng AI English Mentor kết hợp IRT, SM-2 và AI tạo sinh phục vụ học sinh THPT.</w:t>
      </w:r>
    </w:p>
    <w:p>
      <w:pPr>
        <w:spacing w:after="60" w:line="240" w:lineRule="auto"/>
        <w:jc w:val="both"/>
      </w:pPr>
      <w:r>
        <w:rPr>
          <w:rFonts w:ascii="Times New Roman" w:hAnsi="Times New Roman"/>
          <w:i w:val="0"/>
          <w:sz w:val="28"/>
        </w:rPr>
        <w:t>2. Chứng minh thực nghiệm giả thuyết H1, H2, H3 là đúng đắn; nâng cao năng lực tự học và phát âm chuẩn cho học sinh.</w:t>
      </w:r>
    </w:p>
    <w:p>
      <w:pPr>
        <w:spacing w:after="60" w:line="240" w:lineRule="auto"/>
        <w:jc w:val="both"/>
      </w:pPr>
      <w:r>
        <w:rPr>
          <w:rFonts w:ascii="Times New Roman" w:hAnsi="Times New Roman"/>
          <w:i w:val="0"/>
          <w:sz w:val="28"/>
        </w:rPr>
        <w:t>3. Hướng phát triển: Mở rộng ngân hàng câu hỏi lên 3.000+ câu, nâng cấp thuật toán sang FSRS 17 tham số và đóng gói App di động.</w:t>
      </w:r>
    </w:p>
    <w:p>
      <w:pPr>
        <w:spacing w:before="160" w:after="80"/>
        <w:jc w:val="left"/>
      </w:pPr>
      <w:r>
        <w:rPr>
          <w:rFonts w:ascii="Times New Roman" w:hAnsi="Times New Roman"/>
          <w:b/>
          <w:color w:val="0F3666"/>
          <w:sz w:val="29"/>
        </w:rPr>
        <w:t>TÀI LIỆU THAM KHẢO CHÍNH</w:t>
      </w:r>
    </w:p>
    <w:p>
      <w:pPr>
        <w:spacing w:after="60" w:line="240" w:lineRule="auto"/>
        <w:jc w:val="both"/>
      </w:pPr>
      <w:r>
        <w:rPr>
          <w:rFonts w:ascii="Times New Roman" w:hAnsi="Times New Roman"/>
          <w:i w:val="0"/>
          <w:sz w:val="28"/>
        </w:rPr>
        <w:t>1. Bộ Giáo dục và Đào tạo (2018). Chương trình Giáo dục phổ thông môn Tiếng Anh (Thông tư 32/2018/TT-BGDĐT).</w:t>
      </w:r>
    </w:p>
    <w:p>
      <w:pPr>
        <w:spacing w:after="60" w:line="240" w:lineRule="auto"/>
        <w:jc w:val="both"/>
      </w:pPr>
      <w:r>
        <w:rPr>
          <w:rFonts w:ascii="Times New Roman" w:hAnsi="Times New Roman"/>
          <w:i w:val="0"/>
          <w:sz w:val="28"/>
        </w:rPr>
        <w:t>2. Bộ Giáo dục và Đào tạo (2024). Quy định cấu trúc định dạng đề thi Tốt nghiệp THPT từ năm 2025.</w:t>
      </w:r>
    </w:p>
    <w:p>
      <w:pPr>
        <w:spacing w:after="60" w:line="240" w:lineRule="auto"/>
        <w:jc w:val="both"/>
      </w:pPr>
      <w:r>
        <w:rPr>
          <w:rFonts w:ascii="Times New Roman" w:hAnsi="Times New Roman"/>
          <w:i w:val="0"/>
          <w:sz w:val="28"/>
        </w:rPr>
        <w:t>3. Lord, F. M. (1980). Applications of item response theory to practical testing problems. Lawrence Erlbaum Associates.</w:t>
      </w:r>
    </w:p>
    <w:p>
      <w:pPr>
        <w:spacing w:after="60" w:line="240" w:lineRule="auto"/>
        <w:jc w:val="both"/>
      </w:pPr>
      <w:r>
        <w:rPr>
          <w:rFonts w:ascii="Times New Roman" w:hAnsi="Times New Roman"/>
          <w:i w:val="0"/>
          <w:sz w:val="28"/>
        </w:rPr>
        <w:t>4. Ebbinghaus, H. (1885/1913). Memory: A contribution to experimental psychology. Teachers College, Columbia University.</w:t>
      </w:r>
    </w:p>
    <w:p>
      <w:pPr>
        <w:spacing w:after="60" w:line="240" w:lineRule="auto"/>
        <w:jc w:val="both"/>
      </w:pPr>
      <w:r>
        <w:rPr>
          <w:rFonts w:ascii="Times New Roman" w:hAnsi="Times New Roman"/>
          <w:i w:val="0"/>
          <w:sz w:val="28"/>
        </w:rPr>
        <w:t>5. Wozniak, P. A. (1990). Optimization of learning. Master's Thesis, University of Technology in Poznan.</w:t>
      </w:r>
    </w:p>
    <w:p>
      <w:pPr>
        <w:spacing w:after="60" w:line="240" w:lineRule="auto"/>
        <w:jc w:val="both"/>
      </w:pPr>
      <w:r>
        <w:rPr>
          <w:rFonts w:ascii="Times New Roman" w:hAnsi="Times New Roman"/>
          <w:i w:val="0"/>
          <w:sz w:val="28"/>
        </w:rPr>
        <w:t>6. Cohen, J. (1988). Statistical power analysis for the behavioral sciences (2nd ed.). Lawrence Erlbaum Associates.</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60"/>
    </w:pPr>
    <w:rPr>
      <w:rFonts w:ascii="Times New Roman" w:hAnsi="Times New Roman"/>
      <w:color w:val="111111"/>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