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SỞ GIÁO DỤC VÀ ĐÀO TẠO THÀNH PHỐ HỒ CHÍ MINH</w:t>
        <w:br/>
        <w:t>CUỘC THI KHOA HỌC KỸ THUẬT HỌC SINH TRUNG HỌC CẤP THÀNH PHỐ</w:t>
        <w:br/>
        <w:br/>
        <w:br/>
      </w:r>
      <w:r>
        <w:rPr>
          <w:b/>
          <w:color w:val="0F3666"/>
          <w:sz w:val="34"/>
        </w:rPr>
        <w:t>TRỌN BỘ HỒ SƠ DỰ ÁN NGHIÊN CỨU KHOA HỌC KỸ THUẬT</w:t>
        <w:br/>
        <w:br/>
      </w:r>
      <w:r>
        <w:rPr>
          <w:b/>
          <w:sz w:val="30"/>
        </w:rPr>
        <w:t>HỆ THỐNG HỌC TẬP THÍCH ỨNG CÁ NHÂN HÓA HỖ TRỢ TỰ HỌC TIẾNG ANH CHO HỌC SINH THPT DỰA TRÊN MÔ HÌNH LÝ THUYẾT ỨNG ĐÁP CÂU HỎI (IRT), THUẬT TOÁN LẶP NGẮT QUÃNG (SM-2) VÀ CÔNG NGHỆ TRÍ TUỆ NHÂN TẠO</w:t>
        <w:br/>
        <w:br/>
        <w:br/>
      </w:r>
    </w:p>
    <w:p>
      <w:r>
        <w:rPr>
          <w:b/>
        </w:rPr>
        <w:t>MỤC LỤC TRỌN BỘ HỒ SƠ DỰ THI:</w:t>
        <w:br/>
      </w:r>
      <w:r>
        <w:t>1. BÁO CÁO TOÀN VĂN KẾT QUẢ NGHIÊN CỨU DỰ ÁN (Chuẩn quy chế Sở không quá 15 trang)</w:t>
        <w:br/>
      </w:r>
      <w:r>
        <w:t>2. PHỤ LỤC 1: BẢNG KÊ KHAI VÀ CAM KẾT SỬ DỤNG AI TẠO SINH TRONG DỰ ÁN</w:t>
        <w:br/>
      </w:r>
      <w:r>
        <w:t>3. PHỤ LỤC 2: SỔ NHẬT KÝ NGHIÊN CỨU KHOA HỌC (RESEARCH LOGBOOK)</w:t>
        <w:br/>
      </w:r>
      <w:r>
        <w:t>4. PHỤ LỤC 3: NỘI DUNG VÀ THIẾT KẾ POSTER ONLINE</w:t>
        <w:br/>
      </w:r>
      <w:r>
        <w:t>5. KỊCH BẢN THUYẾT TRÌNH VÀ BỘ CÂU HỎI PHẢN BIỆN CỦA BAN GIÁM KHẢO</w:t>
        <w:br/>
      </w:r>
    </w:p>
    <w:p>
      <w:r>
        <w:br w:type="page"/>
      </w:r>
    </w:p>
    <w:p>
      <w:pPr>
        <w:spacing w:before="160" w:after="80"/>
        <w:jc w:val="left"/>
      </w:pPr>
      <w:r>
        <w:rPr>
          <w:rFonts w:ascii="Times New Roman" w:hAnsi="Times New Roman"/>
          <w:b/>
          <w:color w:val="0F3666"/>
          <w:sz w:val="29"/>
        </w:rPr>
        <w:t>HƯỚNG DẪN IN ẤN VÀ NỘP HỒ SƠ TRỰC TUYẾN</w:t>
      </w:r>
    </w:p>
    <w:p>
      <w:pPr>
        <w:spacing w:after="60" w:line="240" w:lineRule="auto"/>
        <w:jc w:val="both"/>
      </w:pPr>
      <w:r>
        <w:rPr>
          <w:rFonts w:ascii="Times New Roman" w:hAnsi="Times New Roman"/>
          <w:i w:val="0"/>
          <w:sz w:val="28"/>
        </w:rPr>
        <w:t>• Theo Kế hoạch số 6756/KH-SGDĐT của Sở GD&amp;ĐT TP.HCM, hồ sơ dự thi được nộp trực tuyến dưới dạng file PDF/DOCX.</w:t>
      </w:r>
    </w:p>
    <w:p>
      <w:pPr>
        <w:spacing w:after="60" w:line="240" w:lineRule="auto"/>
        <w:jc w:val="both"/>
      </w:pPr>
      <w:r>
        <w:rPr>
          <w:rFonts w:ascii="Times New Roman" w:hAnsi="Times New Roman"/>
          <w:i w:val="0"/>
          <w:sz w:val="28"/>
        </w:rPr>
        <w:t>• Báo cáo toàn văn không ghi tên trường/đơn vị để bảo đảm tính khách quan khi chấm thi.</w:t>
      </w:r>
    </w:p>
    <w:p>
      <w:pPr>
        <w:spacing w:after="60" w:line="240" w:lineRule="auto"/>
        <w:jc w:val="both"/>
      </w:pPr>
      <w:r>
        <w:rPr>
          <w:rFonts w:ascii="Times New Roman" w:hAnsi="Times New Roman"/>
          <w:i w:val="0"/>
          <w:sz w:val="28"/>
        </w:rPr>
        <w:t>• Sổ nhật ký nghiên cứu và Poster online được chuẩn bị đồng bộ phục vụ vòng phỏng vấn và vòng tuyển chọn quốc gia.</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color w:val="111111"/>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