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right"/>
      </w:pPr>
      <w:r>
        <w:rPr>
          <w:rFonts w:ascii="Times New Roman" w:hAnsi="Times New Roman"/>
          <w:b/>
          <w:i w:val="0"/>
          <w:color w:val="000000"/>
          <w:sz w:val="26"/>
        </w:rPr>
        <w:t>PHỤ LỤC 1</w:t>
      </w:r>
    </w:p>
    <w:p>
      <w:pPr>
        <w:spacing w:before="0" w:after="280" w:line="276" w:lineRule="auto"/>
        <w:jc w:val="right"/>
      </w:pPr>
      <w:r>
        <w:rPr>
          <w:rFonts w:ascii="Times New Roman" w:hAnsi="Times New Roman"/>
          <w:b w:val="0"/>
          <w:i/>
          <w:color w:val="000000"/>
          <w:sz w:val="22"/>
        </w:rPr>
        <w:t>(Kèm theo Kế hoạch số 6756/KH-SGDĐT ngày tháng năm 2026 của Sở GD&amp;ĐT)</w:t>
      </w:r>
    </w:p>
    <w:p>
      <w:pPr>
        <w:spacing w:before="120" w:after="240" w:line="276" w:lineRule="auto"/>
        <w:jc w:val="center"/>
      </w:pPr>
      <w:r>
        <w:rPr>
          <w:rFonts w:ascii="Times New Roman" w:hAnsi="Times New Roman"/>
          <w:b/>
          <w:i w:val="0"/>
          <w:color w:val="000000"/>
          <w:sz w:val="30"/>
        </w:rPr>
        <w:t>HƯỚNG DẪN VÀ BẢNG KÊ KHAI SỬ DỤNG AI TẠO SINH TRONG DỰ ÁN NGHIÊN CỨU</w:t>
      </w:r>
    </w:p>
    <w:p>
      <w:pPr>
        <w:spacing w:before="0" w:after="160" w:line="276" w:lineRule="auto"/>
        <w:jc w:val="left"/>
      </w:pPr>
      <w:r>
        <w:rPr>
          <w:rFonts w:ascii="Times New Roman" w:hAnsi="Times New Roman"/>
          <w:b/>
          <w:i w:val="0"/>
          <w:color w:val="000000"/>
          <w:sz w:val="25"/>
        </w:rPr>
        <w:t>TÊN DỰ ÁN: XÂY DỰNG HỆ THỐNG GIA SƯ AI THÍCH ỨNG VÀ ĐO LƯỜNG NĂNG LỰC HỌC TIẾNG ANH THEO MÔ HÌNH TOÁN HỌC IRT 2PL</w:t>
      </w:r>
    </w:p>
    <w:p>
      <w:pPr>
        <w:spacing w:before="0" w:after="240" w:line="276" w:lineRule="auto"/>
        <w:jc w:val="left"/>
      </w:pPr>
      <w:r>
        <w:rPr>
          <w:rFonts w:ascii="Times New Roman" w:hAnsi="Times New Roman"/>
          <w:b/>
          <w:i w:val="0"/>
          <w:color w:val="000000"/>
          <w:sz w:val="24"/>
        </w:rPr>
        <w:t>MÃ SỐ DỰ ÁN: [THEO BAN TỔ CHỨC CẤP]</w:t>
      </w:r>
    </w:p>
    <w:p>
      <w:pPr>
        <w:spacing w:before="160" w:after="160" w:line="276" w:lineRule="auto"/>
        <w:jc w:val="center"/>
      </w:pPr>
      <w:r>
        <w:rPr>
          <w:rFonts w:ascii="Times New Roman" w:hAnsi="Times New Roman"/>
          <w:b/>
          <w:i w:val="0"/>
          <w:color w:val="000000"/>
          <w:sz w:val="26"/>
        </w:rPr>
        <w:t>BẢNG KÊ KHAI CHI TIẾT SỬ DỤNG CÔNG CỤ AI TRONG TIẾN TRÌNH NGHIÊN CỨU</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024"/>
        <w:gridCol w:w="3024"/>
        <w:gridCol w:w="3024"/>
      </w:tblGrid>
      <w:tr>
        <w:tc>
          <w:tcPr>
            <w:tcW w:type="dxa" w:w="3024"/>
            <w:tcMar>
              <w:top w:w="140" w:type="dxa"/>
              <w:bottom w:w="140" w:type="dxa"/>
              <w:left w:w="140" w:type="dxa"/>
              <w:right w:w="140" w:type="dxa"/>
            </w:tcMar>
            <w:shd w:fill="F0F0F0"/>
          </w:tcPr>
          <w:p>
            <w:pPr>
              <w:jc w:val="center"/>
            </w:pPr>
            <w:r>
              <w:rPr>
                <w:rFonts w:ascii="Times New Roman" w:hAnsi="Times New Roman"/>
                <w:b/>
                <w:i w:val="0"/>
                <w:color w:val="000000"/>
                <w:sz w:val="24"/>
              </w:rPr>
              <w:t>Nhiệm vụ / Hoạt động nghiên cứu</w:t>
            </w:r>
          </w:p>
        </w:tc>
        <w:tc>
          <w:tcPr>
            <w:tcW w:type="dxa" w:w="3024"/>
            <w:tcMar>
              <w:top w:w="140" w:type="dxa"/>
              <w:bottom w:w="140" w:type="dxa"/>
              <w:left w:w="140" w:type="dxa"/>
              <w:right w:w="140" w:type="dxa"/>
            </w:tcMar>
            <w:shd w:fill="F0F0F0"/>
          </w:tcPr>
          <w:p>
            <w:pPr>
              <w:jc w:val="center"/>
            </w:pPr>
            <w:r>
              <w:rPr>
                <w:rFonts w:ascii="Times New Roman" w:hAnsi="Times New Roman"/>
                <w:b/>
                <w:i w:val="0"/>
                <w:color w:val="000000"/>
                <w:sz w:val="24"/>
              </w:rPr>
              <w:t>Phân loại quy định của Sở</w:t>
            </w:r>
          </w:p>
        </w:tc>
        <w:tc>
          <w:tcPr>
            <w:tcW w:type="dxa" w:w="3024"/>
            <w:tcMar>
              <w:top w:w="140" w:type="dxa"/>
              <w:bottom w:w="140" w:type="dxa"/>
              <w:left w:w="140" w:type="dxa"/>
              <w:right w:w="140" w:type="dxa"/>
            </w:tcMar>
            <w:shd w:fill="F0F0F0"/>
          </w:tcPr>
          <w:p>
            <w:pPr>
              <w:jc w:val="center"/>
            </w:pPr>
            <w:r>
              <w:rPr>
                <w:rFonts w:ascii="Times New Roman" w:hAnsi="Times New Roman"/>
                <w:b/>
                <w:i w:val="0"/>
                <w:color w:val="000000"/>
                <w:sz w:val="24"/>
              </w:rPr>
              <w:t>Điều kiện kèm theo &amp; Minh chứng nhật ký (Prompt Log)</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1. Tóm tắt tài liệu lý thuyết toán học IRT &amp; SM-2 để chuẩn bị đề cương nghiên cứu.</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Học sinh tự đọc và nghiên cứu tài liệu gốc của Lord (1980) và Wozniak (1994). Sử dụng AI để tổng hợp các công thức toán học; có lưu nhật ký câu lệnh.</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2. Viết mã nguồn (Coding) và kiểm thử thuật toán 2PL IRT, SM-2, tích hợp Azure/Whisper.</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Sử dụng AI như trợ lý lập trình (Pair-programming) hỗ trợ tối ưu thuật toán; toàn bộ kiến trúc hệ thống và kiểm thử do học sinh trực tiếp thực hiện và làm chủ mã nguồn.</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3. Sinh ngân hàng câu hỏi tiếng Anh luyện phát âm và bài tập đọc hiểu theo chủ đề SGK.</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Dùng Gemini AI sinh dữ liệu mẫu ban đầu; toàn bộ câu hỏi được đối chiếu chuẩn ngữ liệu SGK Global Success và gán tham số độ khó IRT chính xác.</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4. Xử lý số liệu thống kê thực nghiệm (t-test, Cohen's d) và vẽ biểu đồ phân tích.</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Cho phép kèm điều kiện</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Học sinh tự thu thập số liệu thô từ 120 học sinh thực nghiệm; dùng thư viện Python scipy.stats để tính toán độc lập, đảm bảo tính trung thực 100%.</w:t>
            </w:r>
          </w:p>
        </w:tc>
      </w:tr>
      <w:tr>
        <w:tc>
          <w:tcPr>
            <w:tcW w:type="dxa" w:w="3024"/>
            <w:tcMar>
              <w:top w:w="100" w:type="dxa"/>
              <w:bottom w:w="100" w:type="dxa"/>
              <w:left w:w="120" w:type="dxa"/>
              <w:right w:w="120" w:type="dxa"/>
            </w:tcMar>
          </w:tcPr>
          <w:p>
            <w:pPr>
              <w:jc w:val="left"/>
            </w:pPr>
            <w:r>
              <w:rPr>
                <w:rFonts w:ascii="Times New Roman" w:hAnsi="Times New Roman"/>
                <w:b w:val="0"/>
                <w:i w:val="0"/>
                <w:color w:val="000000"/>
                <w:sz w:val="24"/>
              </w:rPr>
              <w:t>5. Viết bản thảo đầu tiên của kế hoạch nghiên cứu, tóm tắt và báo cáo kết quả dự án.</w:t>
            </w:r>
          </w:p>
        </w:tc>
        <w:tc>
          <w:tcPr>
            <w:tcW w:type="dxa" w:w="3024"/>
            <w:tcMar>
              <w:top w:w="100" w:type="dxa"/>
              <w:bottom w:w="100" w:type="dxa"/>
              <w:left w:w="120" w:type="dxa"/>
              <w:right w:w="120" w:type="dxa"/>
            </w:tcMar>
          </w:tcPr>
          <w:p>
            <w:pPr>
              <w:jc w:val="center"/>
            </w:pPr>
            <w:r>
              <w:rPr>
                <w:rFonts w:ascii="Times New Roman" w:hAnsi="Times New Roman"/>
                <w:b/>
                <w:i w:val="0"/>
                <w:color w:val="000000"/>
                <w:sz w:val="24"/>
              </w:rPr>
              <w:t>Không cho phép sử dụng AI viết thay</w:t>
            </w:r>
          </w:p>
        </w:tc>
        <w:tc>
          <w:tcPr>
            <w:tcW w:type="dxa" w:w="3024"/>
            <w:tcMar>
              <w:top w:w="100" w:type="dxa"/>
              <w:bottom w:w="100" w:type="dxa"/>
              <w:left w:w="120" w:type="dxa"/>
              <w:right w:w="120" w:type="dxa"/>
            </w:tcMar>
          </w:tcPr>
          <w:p>
            <w:pPr>
              <w:jc w:val="left"/>
            </w:pPr>
            <w:r>
              <w:rPr>
                <w:rFonts w:ascii="Times New Roman" w:hAnsi="Times New Roman"/>
                <w:b w:val="0"/>
                <w:i w:val="0"/>
                <w:color w:val="000000"/>
                <w:sz w:val="24"/>
              </w:rPr>
              <w:t>TUÂN THỦ TUYỆT ĐỐI: Toàn bộ báo cáo và poster do học sinh tự lập luận, viết và trình bày dựa trên số liệu nghiên cứu thực tế của nhóm.</w:t>
            </w:r>
          </w:p>
        </w:tc>
      </w:tr>
    </w:tbl>
    <w:p>
      <w:pPr>
        <w:spacing w:before="120" w:after="80" w:line="276" w:lineRule="auto"/>
        <w:jc w:val="left"/>
      </w:pPr>
    </w:p>
    <w:p>
      <w:pPr>
        <w:spacing w:before="0" w:after="80" w:line="276" w:lineRule="auto"/>
        <w:jc w:val="left"/>
      </w:pPr>
      <w:r>
        <w:rPr>
          <w:rFonts w:ascii="Times New Roman" w:hAnsi="Times New Roman"/>
          <w:b/>
          <w:i w:val="0"/>
          <w:color w:val="000000"/>
          <w:sz w:val="26"/>
        </w:rPr>
        <w:t>Cam kết về tính liêm chính học thuật:</w:t>
      </w:r>
    </w:p>
    <w:p>
      <w:pPr>
        <w:spacing w:before="0" w:after="80" w:line="276" w:lineRule="auto"/>
        <w:jc w:val="left"/>
      </w:pPr>
      <w:r>
        <w:rPr>
          <w:rFonts w:ascii="Times New Roman" w:hAnsi="Times New Roman"/>
          <w:b w:val="0"/>
          <w:i w:val="0"/>
          <w:color w:val="000000"/>
          <w:sz w:val="28"/>
        </w:rPr>
        <w:t>Nhóm nghiên cứu cam kết tuân thủ đầy đủ các quy định về sử dụng AI tạo sinh của Sở GD&amp;ĐT. Mọi ứng dụng công nghệ AI đều nhằm mục đích hỗ trợ kỹ thuật và công cụ nghiên cứu, không thay thế tư duy độc lập và công sức nghiên cứu thực chất của học sinh.</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