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24"/>
        </w:rPr>
        <w:t>FPT UNIVERSITY — HO CHI MINH CITY</w:t>
        <w:br/>
        <w:t>FACULTY OF INFORMATION TECHNOLOGY</w:t>
        <w:br/>
      </w:r>
      <w:r>
        <w:rPr>
          <w:b/>
          <w:sz w:val="22"/>
        </w:rPr>
        <w:t>DSP501 — DIGITAL SIGNAL AND IMAGE PROCESSING</w:t>
        <w:br/>
        <w:t>FINAL RESEARCH REPORT</w:t>
        <w:br/>
      </w:r>
    </w:p>
    <w:p>
      <w:pPr>
        <w:jc w:val="center"/>
      </w:pPr>
      <w:r>
        <w:rPr>
          <w:b/>
          <w:color w:val="002060"/>
          <w:sz w:val="32"/>
        </w:rPr>
        <w:t>Unsupervised Classroom Acoustic Anomaly Detection</w:t>
        <w:br/>
        <w:t>Using Digital Signal Processing and Deep Autoencoders</w:t>
      </w:r>
    </w:p>
    <w:p>
      <w:pPr>
        <w:jc w:val="center"/>
      </w:pPr>
      <w:r>
        <w:rPr>
          <w:i/>
          <w:color w:val="555555"/>
          <w:sz w:val="20"/>
        </w:rPr>
        <w:t>[GUIDE: Điền thông tin nhóm 3-4 sinh viên]</w:t>
        <w:br/>
        <w:t>Authors: Student Name 1 (MSSV), Student Name 2 (MSSV), Student Name 3 (MSSV), Student Name 4 (MSSV)</w:t>
        <w:br/>
        <w:t>Instructor: [Tên Giảng Viên Hướng Dẫn] | Class: [Mã Lớp] | Semester: Summer 2026</w:t>
        <w:br/>
        <w:t>Date of Submission: August 2026</w:t>
      </w:r>
    </w:p>
    <w:p>
      <w:pPr>
        <w:spacing w:after="160"/>
      </w:pPr>
    </w:p>
    <w:p>
      <w:pPr>
        <w:keepNext/>
        <w:spacing w:before="240" w:after="60"/>
      </w:pPr>
      <w:r>
        <w:rPr>
          <w:b/>
          <w:color w:val="003366"/>
          <w:sz w:val="26"/>
        </w:rPr>
        <w:t>1. Abstract</w:t>
      </w:r>
    </w:p>
    <w:p>
      <w:r>
        <w:t>Acoustic anomaly detection in educational environments plays a pivotal role in ensuring student safety, detecting emergencies (e.g., violent screams, glass fractures, physical impacts), and monitoring classroom disruptions. However, real-world classroom surveillance faces two fundamental bottlenecks: (1) anomalous events occur with extreme rarity, precluding supervised classification paradigms, and (2) background environmental noise (HVAC humming, floor reverberations, and conversational babble) severely distorts raw acoustic waveforms. In this paper, we propose a rigorous, unsupervised classroom acoustic anomaly detection framework integrating classic Digital Signal Processing (DSP) front-ends with a PyTorch Deep Autoencoder. The DSP pipeline systematically executes zero-phase IIR Butterworth bandpass filtering (80–7500 Hz), Short-Time Fourier Transform (STFT) with Hann windowing, and 6-band physiological spectral sub-band power extraction (30-dimensional temporal summary vectors). The Autoencoder is trained strictly on unlabelled normal classroom sounds (zero abnormal contamination), establishing an anomaly decision boundary at the empirical 99th-percentile reconstruction MSE error. To rigorously evaluate the contribution of each signal processing stage, we conduct a systematic 5-variant ablation study comparing the proposed full DSP pipeline against variants lacking filtering, lacking band-power pooling, lacking STFT time-frequency mapping, and a downsampled raw waveform baseline. Comprehensive evaluations demonstrate that the full DSP representation achieves high ROC-AUC and PR-AUC, high detection rate, and robust noise resilience against additive Gaussian noise compared to naive time-domain methods.</w:t>
      </w:r>
    </w:p>
    <w:p>
      <w:pPr>
        <w:keepNext/>
        <w:spacing w:before="240" w:after="60"/>
      </w:pPr>
      <w:r>
        <w:rPr>
          <w:b/>
          <w:color w:val="003366"/>
          <w:sz w:val="26"/>
        </w:rPr>
        <w:t>2. Keywords</w:t>
      </w:r>
    </w:p>
    <w:p>
      <w:r>
        <w:rPr>
          <w:b/>
        </w:rPr>
        <w:t>Digital Signal Processing (DSP), Unsupervised Anomaly Detection, Acoustic Surveillance, Butterworth Bandpass Filter, Short-Time Fourier Transform (STFT), Spectral Sub-Band Power, Deep Autoencoder, Ablation Study, Noise Robustness.</w:t>
      </w:r>
    </w:p>
    <w:p>
      <w:pPr>
        <w:keepNext/>
        <w:spacing w:before="240" w:after="60"/>
      </w:pPr>
      <w:r>
        <w:rPr>
          <w:b/>
          <w:color w:val="003366"/>
          <w:sz w:val="26"/>
        </w:rPr>
        <w:t>3. Introduction</w:t>
      </w:r>
    </w:p>
    <w:p>
      <w:r>
        <w:t>The automated monitoring of acoustic environments in smart classrooms and educational institutions has emerged as an essential technology for student safety, physical violence prevention, and intelligent ambient infrastructure management. While video surveillance suffers from line-of-sight occlusions, high bandwidth requirements, and severe privacy violations, acoustic sensors offer ubiquitous, privacy-preserving 360-degree coverage capable of detecting instantaneous acoustic transients—such as shrieking, shouting, physical assaults, and equipment destruction.</w:t>
      </w:r>
    </w:p>
    <w:p>
      <w:r>
        <w:t>Despite its potential, audio-based anomaly detection in real-world educational facilities faces severe technical hurdles. First, acoustic anomalies are intrinsically sporadic and non-stationary. Training supervised deep classifiers is practically infeasible due to severe class imbalance and the impossibility of collecting exhaustive anomalous training distributions. Second, raw physical audio signals captured by low-cost room microphones are heavily corrupted by non-target acoustic artifacts: 50/60 Hz electrical mains hum, sub-audio mechanical air-conditioner rumbles (&lt;80 Hz), and high-frequency aliasing/thermal sensor hiss (&gt;7500 Hz). Naive end-to-end deep learning models directly applied to raw time-domain waveforms often fail because they conflate ambient acoustic energy with true semantic anomalies.</w:t>
      </w:r>
    </w:p>
    <w:p>
      <w:r>
        <w:t>To resolve these challenges, this study presents a principled integration of Digital Signal Processing front-end engineering with an Unsupervised Deep Autoencoder. By transforming unconstrained 1D waveforms into structured time-frequency spectral energy bands, our system filters out out-of-band noise and extracts condensed acoustic signatures, empowering the downstream neural network to model pure normal classroom dynamics with zero exposure to abnormal samples.</w:t>
      </w:r>
    </w:p>
    <w:p>
      <w:pPr>
        <w:keepNext/>
        <w:spacing w:before="240" w:after="60"/>
      </w:pPr>
      <w:r>
        <w:rPr>
          <w:b/>
          <w:color w:val="003366"/>
          <w:sz w:val="26"/>
        </w:rPr>
        <w:t>4. Research Problem</w:t>
      </w:r>
    </w:p>
    <w:p>
      <w:r>
        <w:t>How can an intelligent audio monitoring system accurately and robustly detect unseen acoustic anomalies in a noisy classroom environment without requiring any labelled anomalous training data, and what specific quantitative performance gains do rigorous digital filtering and spectral energy feature extraction provide over raw waveform processing?</w:t>
      </w:r>
    </w:p>
    <w:p>
      <w:pPr>
        <w:keepNext/>
        <w:spacing w:before="240" w:after="60"/>
      </w:pPr>
      <w:r>
        <w:rPr>
          <w:b/>
          <w:color w:val="003366"/>
          <w:sz w:val="26"/>
        </w:rPr>
        <w:t>5. Research Objectives</w:t>
      </w:r>
    </w:p>
    <w:p>
      <w:r>
        <w:t>The primary objectives of this research project are:</w:t>
      </w:r>
    </w:p>
    <w:p>
      <w:pPr>
        <w:pStyle w:val="ListBullet"/>
      </w:pPr>
      <w:r>
        <w:rPr>
          <w:b/>
        </w:rPr>
        <w:t xml:space="preserve">Objective 1 (DSP Architecture Design): </w:t>
      </w:r>
      <w:r>
        <w:t>Design, implement, and theoretically justify an end-to-end DSP front-end integrating zero-phase Butterworth bandpass filtering, STFT spectrogram analysis, and multi-band physiological spectral power pooling.</w:t>
      </w:r>
    </w:p>
    <w:p>
      <w:pPr>
        <w:pStyle w:val="ListBullet"/>
      </w:pPr>
      <w:r>
        <w:rPr>
          <w:b/>
        </w:rPr>
        <w:t xml:space="preserve">Objective 2 (Unsupervised AI Modeling): </w:t>
      </w:r>
      <w:r>
        <w:t>Develop a symmetric PyTorch Deep Autoencoder operating strictly under a one-class unsupervised learning protocol (fit exclusively on normal acoustic patterns) with automated 99th-percentile anomaly threshold calibration.</w:t>
      </w:r>
    </w:p>
    <w:p>
      <w:pPr>
        <w:pStyle w:val="ListBullet"/>
      </w:pPr>
      <w:r>
        <w:rPr>
          <w:b/>
        </w:rPr>
        <w:t xml:space="preserve">Objective 3 (Ablation &amp; Comparative Evaluation): </w:t>
      </w:r>
      <w:r>
        <w:t>Execute a controlled 5-pipeline ablation study to quantitatively isolate the contribution of digital filtering, time-frequency transformation, and band-power pooling against a raw baseline.</w:t>
      </w:r>
    </w:p>
    <w:p>
      <w:pPr>
        <w:pStyle w:val="ListBullet"/>
      </w:pPr>
      <w:r>
        <w:rPr>
          <w:b/>
        </w:rPr>
        <w:t xml:space="preserve">Objective 4 (Noise Robustness &amp; Error Diagnostics): </w:t>
      </w:r>
      <w:r>
        <w:t>Assess algorithmic degradation under additive Gaussian noise at multiple standard deviations (0.01 to 0.10) and perform systematic acoustic error categorization for false alarms and missed detections.</w:t>
      </w:r>
    </w:p>
    <w:p>
      <w:pPr>
        <w:keepNext/>
        <w:spacing w:before="240" w:after="60"/>
      </w:pPr>
      <w:r>
        <w:rPr>
          <w:b/>
          <w:color w:val="003366"/>
          <w:sz w:val="26"/>
        </w:rPr>
        <w:t>6. Research Questions &amp; Hypotheses</w:t>
      </w:r>
    </w:p>
    <w:p>
      <w:r>
        <w:t>Guided by the FINER (Feasible, Interesting, Novel, Ethical, Relevant) framework, we formulate four Research Questions (RQs) and two formal hypotheses:</w:t>
      </w:r>
    </w:p>
    <w:p>
      <w:r>
        <w:t>• RQ1 (DSP vs. Minimal Baseline): Does the integration of dedicated DSP bandpass filtering and STFT feature extraction significantly improve unsupervised anomaly detection accuracy (ROC-AUC, F1-score) compared to raw waveform downsampling?</w:t>
        <w:br/>
        <w:t>• RQ2 (Ablation Contribution): Which specific component of the DSP chain (Bandpass filtering, STFT transformation, or Sub-band energy pooling) contributes most significantly to model discrimination and feature stability?</w:t>
        <w:br/>
        <w:t>• RQ3 (Noise Robustness): How resilient is the full DSP pipeline when subjected to increasing levels of additive acoustic noise compared to baseline and intermediate representations?</w:t>
        <w:br/>
        <w:t>• RQ4 (Error Diagnostics): What physical and spectral acoustic characteristics trigger False Positives (normal sounds misclassified as anomalies) and False Negatives (unnoticed anomalous events)?</w:t>
      </w:r>
    </w:p>
    <w:p>
      <w:pPr>
        <w:keepNext/>
        <w:spacing w:before="160" w:after="40"/>
      </w:pPr>
      <w:r>
        <w:rPr>
          <w:b/>
          <w:color w:val="224477"/>
          <w:sz w:val="23"/>
        </w:rPr>
        <w:t>Formal Research Hypotheses:</w:t>
      </w:r>
    </w:p>
    <w:p>
      <w:r>
        <w:t>• Hypothesis 1 (H1): The proposed full DSP pipeline (full_dsp) achieves superior F1-score and ROC-AUC metrics compared to the raw waveform baseline due to effective suppression of out-of-band noise and compact spectral band representation.</w:t>
        <w:br/>
        <w:t>• Hypothesis 2 (H2): Ablating the IIR Butterworth bandpass filter or replacing STFT band-power pooling with raw spectral averaging leads to measurable degradation in signal-to-noise ratio and increased False Alarm Rates under noisy conditions.</w:t>
      </w:r>
    </w:p>
    <w:p>
      <w:pPr>
        <w:keepNext/>
        <w:spacing w:before="240" w:after="60"/>
      </w:pPr>
      <w:r>
        <w:rPr>
          <w:b/>
          <w:color w:val="003366"/>
          <w:sz w:val="26"/>
        </w:rPr>
        <w:t>7. Literature Review</w:t>
      </w:r>
    </w:p>
    <w:p>
      <w:pPr>
        <w:spacing w:after="80"/>
        <w:ind w:left="360"/>
      </w:pPr>
      <w:r>
        <w:rPr>
          <w:b/>
          <w:i/>
          <w:color w:val="B25900"/>
          <w:sz w:val="19"/>
        </w:rPr>
        <w:t>💡 [GUIDE HINT / HƯỚNG DẪN ĐIỀN]: Bạn hãy xem qua 8-12 bài báo khoa học (từ năm 2021-2026) theo mẫu Literature Matrix ở Appendix A. Dưới đây là phần tổng quan lý thuyết mẫu so sánh giữa các kỹ thuật DSP và AI trong bài toán giám sát âm thanh.</w:t>
      </w:r>
    </w:p>
    <w:p>
      <w:r>
        <w:t>Acoustic anomaly detection has evolved through two primary paradigms in recent literature: traditional feature-engineered statistical detectors and deep learning-based representation learners. Early works predominantly utilized Mel-Frequency Cepstral Coefficients (MFCC) paired with One-Class Support Vector Machines (OC-SVM) or Gaussian Mixture Models (GMM) [Reference 1]. While computationally lightweight, these methods struggle with the high temporal variance and complex acoustic overlaps inherent in classroom environments.</w:t>
      </w:r>
    </w:p>
    <w:p>
      <w:r>
        <w:t>Recent deep learning approaches have shifted toward Convolutional Autoencoders (CAE) and Recurrent Neural Networks (LSTM/GRU) trained on log-mel spectrograms [Reference 2, Reference 3]. However, many existing studies overlook the upstream signal conditioning stage, feeding unnormalized or wideband audio into neural architectures, which forces the network to learn basic filtering operations implicitly and increases sample complexity. Furthermore, few literature benchmarks explicitly isolate the independent contribution of IIR zero-phase filtering versus spectral power grouping under controlled ablation settings. (See Appendix A for the complete Literature Matrix comparing 8-12 recent publications).</w:t>
      </w:r>
    </w:p>
    <w:p>
      <w:pPr>
        <w:keepNext/>
        <w:spacing w:before="240" w:after="60"/>
      </w:pPr>
      <w:r>
        <w:rPr>
          <w:b/>
          <w:color w:val="003366"/>
          <w:sz w:val="26"/>
        </w:rPr>
        <w:t>8. Research Gap</w:t>
      </w:r>
    </w:p>
    <w:p>
      <w:r>
        <w:t>While numerous studies benchmark deep anomaly detection models on standard acoustic datasets (e.g., DCASE, RAVDESS, ESC-50), a critical research gap remains in the systematic, quantitative quantification of how individual classical DSP stages (zero-phase bandpass filtering, windowed STFT, and sub-band energy pooling) affect unsupervised neural reconstruction. Most existing research treats the DSP front-end as a fixed, opaque black-box without isolating the failure modes caused by omitting specific filtering or pooling stages under noisy classroom conditions.</w:t>
      </w:r>
    </w:p>
    <w:p>
      <w:pPr>
        <w:keepNext/>
        <w:spacing w:before="240" w:after="60"/>
      </w:pPr>
      <w:r>
        <w:rPr>
          <w:b/>
          <w:color w:val="003366"/>
          <w:sz w:val="26"/>
        </w:rPr>
        <w:t>9. Expected Contributions</w:t>
      </w:r>
    </w:p>
    <w:p>
      <w:r>
        <w:t>The contributions of this study are fourfold:</w:t>
      </w:r>
    </w:p>
    <w:p>
      <w:pPr>
        <w:pStyle w:val="ListBullet"/>
      </w:pPr>
      <w:r>
        <w:rPr>
          <w:b/>
        </w:rPr>
        <w:t xml:space="preserve">A Complete, Verified DSP Front-end: </w:t>
      </w:r>
      <w:r>
        <w:t>Implementation of an end-to-end Python/SciPy audio conditioning suite incorporating DC-bias correction, RMS normalization, pre-emphasis, and zero-phase 4th-order IIR Butterworth bandpass filtering.</w:t>
      </w:r>
    </w:p>
    <w:p>
      <w:pPr>
        <w:pStyle w:val="ListBullet"/>
      </w:pPr>
      <w:r>
        <w:rPr>
          <w:b/>
        </w:rPr>
        <w:t xml:space="preserve">Physiological 6-Band Spectral Pooling: </w:t>
      </w:r>
      <w:r>
        <w:t>Formulation of an optimized 30-dimensional feature extractor that segments STFT magnitude spectrograms into 6 distinct frequency sub-bands aligned with human vocalization and destructive impact acoustics.</w:t>
      </w:r>
    </w:p>
    <w:p>
      <w:pPr>
        <w:pStyle w:val="ListBullet"/>
      </w:pPr>
      <w:r>
        <w:rPr>
          <w:b/>
        </w:rPr>
        <w:t xml:space="preserve">Rigorous 5-Variant Ablation &amp; Noise Suite: </w:t>
      </w:r>
      <w:r>
        <w:t>A controlled ablation framework benchmarking full_dsp, without_bandpass, without_bandpower, without_stft, and baseline across Accuracy, F1, ROC-AUC, PR-AUC, FAR, and DR under varying noise regimes.</w:t>
      </w:r>
    </w:p>
    <w:p>
      <w:pPr>
        <w:pStyle w:val="ListBullet"/>
      </w:pPr>
      <w:r>
        <w:rPr>
          <w:b/>
        </w:rPr>
        <w:t xml:space="preserve">Reproducible Research Package &amp; Interactive Dashboard: </w:t>
      </w:r>
      <w:r>
        <w:t>A fully reproducible open-source suite with fixed random seeds, automated CLI execution (run.py), unit tests, and an interactive Streamlit dashboard supporting live microphone inference.</w:t>
      </w:r>
    </w:p>
    <w:p>
      <w:pPr>
        <w:keepNext/>
        <w:spacing w:before="240" w:after="60"/>
      </w:pPr>
      <w:r>
        <w:rPr>
          <w:b/>
          <w:color w:val="003366"/>
          <w:sz w:val="26"/>
        </w:rPr>
        <w:t>10. Methodology</w:t>
      </w:r>
    </w:p>
    <w:p>
      <w:pPr>
        <w:keepNext/>
        <w:spacing w:before="160" w:after="40"/>
      </w:pPr>
      <w:r>
        <w:rPr>
          <w:b/>
          <w:color w:val="224477"/>
          <w:sz w:val="23"/>
        </w:rPr>
        <w:t>10.1. Research Framework Workflow</w:t>
      </w:r>
    </w:p>
    <w:p>
      <w:r>
        <w:t>The overall workflow follows a strictly modular research framework:</w:t>
        <w:br/>
        <w:t>[Acoustic Acquisition (16 kHz WAV)] ➔ [DSP Preprocessing (DC Removal, Norm, Pre-emphasis, IIR Bandpass)] ➔ [Feature Extraction (STFT + 6-Band Power)] ➔ [Standard Scaler (Fit on Normal)] ➔ [PyTorch Deep Autoencoder] ➔ [MSE Reconstruction Error &amp; 99th-Percentile Thresholding] ➔ [Decision: Normal vs. Anomaly].</w:t>
      </w:r>
    </w:p>
    <w:p>
      <w:pPr>
        <w:keepNext/>
        <w:spacing w:before="160" w:after="40"/>
      </w:pPr>
      <w:r>
        <w:rPr>
          <w:b/>
          <w:color w:val="224477"/>
          <w:sz w:val="23"/>
        </w:rPr>
        <w:t>10.2. Signal Conditioning &amp; Preprocessing</w:t>
      </w:r>
    </w:p>
    <w:p>
      <w:r>
        <w:t>1. Peak &amp; Energy Normalization: To prevent sound intensity differences (due to speaker distance from the microphone) from biasing error metrics, each discrete signal x[n] is centered and normalized to peak amplitude in [-1.0, 1.0]:</w:t>
        <w:br/>
        <w:t xml:space="preserve">   x_norm[n] = (x[n] - mean(x)) / (max(|x[n]|) + eps)</w:t>
        <w:br/>
        <w:br/>
        <w:t>2. Pre-emphasis Filtering: High-frequency vocal formants and sharp impact acoustics suffer from spectral roll-off. A first-order high-pass filter is applied with coefficient alpha = 0.97:</w:t>
        <w:br/>
        <w:t xml:space="preserve">   y[n] = x[n] - alpha * x[n-1]</w:t>
        <w:br/>
        <w:br/>
        <w:t>3. Zero-Phase IIR Butterworth Bandpass Filtering: A 4th-order Butterworth bandpass filter with cutoff frequencies f_low = 80 Hz and f_high = 7500 Hz (at fs = 16000 Hz) is implemented via Second-Order Sections (SOS). To eliminate phase distortion and non-linear group delay, two-way forward-backward filtering (scipy.signal.sosfiltfilt) is employed:</w:t>
        <w:br/>
        <w:t xml:space="preserve">   |H(j*omega)|^2 = 1 / (1 + (omega / omega_c)^(2N))</w:t>
      </w:r>
    </w:p>
    <w:p>
      <w:pPr>
        <w:keepNext/>
        <w:spacing w:before="160" w:after="40"/>
      </w:pPr>
      <w:r>
        <w:rPr>
          <w:b/>
          <w:color w:val="224477"/>
          <w:sz w:val="23"/>
        </w:rPr>
        <w:t>10.3. Feature Extraction (STFT &amp; Spectral Sub-Band Power)</w:t>
      </w:r>
    </w:p>
    <w:p>
      <w:r>
        <w:t>The conditioned signal is converted into a time-frequency representation via the Short-Time Fourier Transform (STFT) using a Hann window of length N_fft = 1024 (64 ms window) and hop size R = 256 (16 ms step, 75% overlap):</w:t>
        <w:br/>
        <w:t xml:space="preserve">   X(m, omega) = sum_{n} x[n] * w[n - m] * exp(-j * omega * n)</w:t>
        <w:br/>
        <w:br/>
        <w:t>To reduce feature dimensionality while capturing acoustic signatures, the magnitude spectrogram |X(m, f)| is pooled across 6 sub-bands:</w:t>
        <w:br/>
        <w:t xml:space="preserve">   • Band 1 (Sub-bass &amp; Mechanical Rumble): 80 – 250 Hz</w:t>
        <w:br/>
        <w:t xml:space="preserve">   • Band 2 (Bass &amp; Low Vocals): 250 – 500 Hz</w:t>
        <w:br/>
        <w:t xml:space="preserve">   • Band 3 (Low Midrange - Vowel Formants): 500 – 1000 Hz</w:t>
        <w:br/>
        <w:t xml:space="preserve">   • Band 4 (Midrange - Classroom Discussion): 1000 – 2000 Hz</w:t>
        <w:br/>
        <w:t xml:space="preserve">   • Band 5 (Upper Midrange - Shouting &amp; Screaming): 2000 – 4000 Hz</w:t>
        <w:br/>
        <w:t xml:space="preserve">   • Band 6 (High Frequency - Glass shatter, impact transients): 4000 – 7500 Hz</w:t>
        <w:br/>
        <w:br/>
        <w:t>For each sub-band k, temporal summary statistics (Mean, Standard Deviation, Maximum, Minimum, Energy) are calculated across all time frames, yielding a compact 30-dimensional feature vector per audio file.</w:t>
      </w:r>
    </w:p>
    <w:p>
      <w:pPr>
        <w:keepNext/>
        <w:spacing w:before="160" w:after="40"/>
      </w:pPr>
      <w:r>
        <w:rPr>
          <w:b/>
          <w:color w:val="224477"/>
          <w:sz w:val="23"/>
        </w:rPr>
        <w:t>10.4. AI Model Architecture &amp; Unsupervised Decision Logic</w:t>
      </w:r>
    </w:p>
    <w:p>
      <w:r>
        <w:t>The PyTorch Deep Autoencoder comprises an Encoder, Bottleneck, and Decoder:</w:t>
        <w:br/>
        <w:t xml:space="preserve">   • Encoder: Linear(30 -&gt; 16) -&gt; BatchNorm1d -&gt; ReLU -&gt; Dropout(0.1) -&gt; Linear(16 -&gt; 8) -&gt; ReLU</w:t>
        <w:br/>
        <w:t xml:space="preserve">   • Bottleneck: 8-dimensional compressed latent representation</w:t>
        <w:br/>
        <w:t xml:space="preserve">   • Decoder: Linear(8 -&gt; 16) -&gt; ReLU -&gt; Linear(16 -&gt; 30)</w:t>
        <w:br/>
        <w:br/>
        <w:t>Training Configuration: Optimizer: Adam (lr = 0.001), Loss function: Mean Squared Error (MSE), Epochs: 25, Batch size: 16.</w:t>
        <w:br/>
        <w:t>Strict Zero-Contamination Protocol: The model is trained EXCLUSIVELY on normal audio (label 0). The anomaly threshold theta is determined empirically as the 99th percentile of the reconstruction loss over the normal training dataset:</w:t>
        <w:br/>
        <w:t xml:space="preserve">   theta = Percentile_99( { L(x_i, x_hat_i) } for x_i in D_train_normal )</w:t>
        <w:br/>
        <w:t>During test inference, if L(x_test, x_hat_test) &gt; theta, the audio segment is classified as Anomaly (label 1); otherwise Normal (label 0).</w:t>
      </w:r>
    </w:p>
    <w:p>
      <w:pPr>
        <w:keepNext/>
        <w:spacing w:before="240" w:after="60"/>
      </w:pPr>
      <w:r>
        <w:rPr>
          <w:b/>
          <w:color w:val="003366"/>
          <w:sz w:val="26"/>
        </w:rPr>
        <w:t>11. Experimental Design</w:t>
      </w:r>
    </w:p>
    <w:p>
      <w:r>
        <w:t>1. Dataset Partitioning: The audio dataset consists of 529 normal classroom audio files (lectures, quiet study, normal discussions) and 83 abnormal audio files (screaming, aggressive banging, breaking glass). The dataset is split into:</w:t>
        <w:br/>
        <w:t xml:space="preserve">   • Training Set: 423 normal samples (80% of normal class, 0% abnormal).</w:t>
        <w:br/>
        <w:t xml:space="preserve">   • Evaluation Test Set: 106 unseen normal samples (20% of normal) + 83 abnormal samples (100% of abnormal).</w:t>
        <w:br/>
        <w:br/>
        <w:t>2. Independent &amp; Dependent Variables:</w:t>
        <w:br/>
        <w:t xml:space="preserve">   • Independent Variables: Front-end DSP configuration (5 ablation pipelines), Additive Gaussian Noise level (sigma in {0.0, 0.01, 0.03, 0.05, 0.10}).</w:t>
        <w:br/>
        <w:t xml:space="preserve">   • Dependent Variables: Accuracy, Precision, Recall, F1-Score, ROC-AUC, PR-AUC, False Alarm Rate (FAR), and Detection Rate (DR).</w:t>
        <w:br/>
        <w:br/>
        <w:t>3. Ablation Pipeline Matrix (5 Systems):</w:t>
      </w:r>
    </w:p>
    <w:tbl>
      <w:tblPr>
        <w:tblW w:type="auto" w:w="0"/>
        <w:jc w:val="center"/>
        <w:tblLook w:firstColumn="1" w:firstRow="1" w:lastColumn="0" w:lastRow="0" w:noHBand="0" w:noVBand="1" w:val="04A0"/>
      </w:tblPr>
      <w:tblGrid>
        <w:gridCol w:w="2340"/>
        <w:gridCol w:w="2340"/>
        <w:gridCol w:w="2340"/>
        <w:gridCol w:w="2340"/>
      </w:tblGrid>
      <w:tr>
        <w:tc>
          <w:tcPr>
            <w:tcW w:type="dxa" w:w="2340"/>
            <w:shd w:fill="003366"/>
            <w:tcMar>
              <w:top w:w="100" w:type="dxa"/>
              <w:bottom w:w="100" w:type="dxa"/>
              <w:left w:w="150" w:type="dxa"/>
              <w:right w:w="150" w:type="dxa"/>
            </w:tcMar>
          </w:tcPr>
          <w:p>
            <w:r>
              <w:rPr>
                <w:b/>
                <w:color w:val="FFFFFF"/>
                <w:sz w:val="20"/>
              </w:rPr>
              <w:t>Pipeline Name</w:t>
            </w:r>
          </w:p>
        </w:tc>
        <w:tc>
          <w:tcPr>
            <w:tcW w:type="dxa" w:w="2340"/>
            <w:shd w:fill="003366"/>
            <w:tcMar>
              <w:top w:w="100" w:type="dxa"/>
              <w:bottom w:w="100" w:type="dxa"/>
              <w:left w:w="150" w:type="dxa"/>
              <w:right w:w="150" w:type="dxa"/>
            </w:tcMar>
          </w:tcPr>
          <w:p>
            <w:r>
              <w:rPr>
                <w:b/>
                <w:color w:val="FFFFFF"/>
                <w:sz w:val="20"/>
              </w:rPr>
              <w:t>DSP Preprocessing</w:t>
            </w:r>
          </w:p>
        </w:tc>
        <w:tc>
          <w:tcPr>
            <w:tcW w:type="dxa" w:w="2340"/>
            <w:shd w:fill="003366"/>
            <w:tcMar>
              <w:top w:w="100" w:type="dxa"/>
              <w:bottom w:w="100" w:type="dxa"/>
              <w:left w:w="150" w:type="dxa"/>
              <w:right w:w="150" w:type="dxa"/>
            </w:tcMar>
          </w:tcPr>
          <w:p>
            <w:r>
              <w:rPr>
                <w:b/>
                <w:color w:val="FFFFFF"/>
                <w:sz w:val="20"/>
              </w:rPr>
              <w:t>Feature Representation</w:t>
            </w:r>
          </w:p>
        </w:tc>
        <w:tc>
          <w:tcPr>
            <w:tcW w:type="dxa" w:w="2340"/>
            <w:shd w:fill="003366"/>
            <w:tcMar>
              <w:top w:w="100" w:type="dxa"/>
              <w:bottom w:w="100" w:type="dxa"/>
              <w:left w:w="150" w:type="dxa"/>
              <w:right w:w="150" w:type="dxa"/>
            </w:tcMar>
          </w:tcPr>
          <w:p>
            <w:r>
              <w:rPr>
                <w:b/>
                <w:color w:val="FFFFFF"/>
                <w:sz w:val="20"/>
              </w:rPr>
              <w:t>AI Architecture</w:t>
            </w:r>
          </w:p>
        </w:tc>
      </w:tr>
      <w:tr>
        <w:tc>
          <w:tcPr>
            <w:tcW w:type="dxa" w:w="2340"/>
            <w:tcMar>
              <w:top w:w="100" w:type="dxa"/>
              <w:bottom w:w="100" w:type="dxa"/>
              <w:left w:w="150" w:type="dxa"/>
              <w:right w:w="150" w:type="dxa"/>
            </w:tcMar>
            <w:shd w:fill="F2F5F9"/>
          </w:tcPr>
          <w:p>
            <w:r>
              <w:rPr>
                <w:sz w:val="19"/>
              </w:rPr>
              <w:t>full_dsp (Proposed)</w:t>
            </w:r>
          </w:p>
        </w:tc>
        <w:tc>
          <w:tcPr>
            <w:tcW w:type="dxa" w:w="2340"/>
            <w:tcMar>
              <w:top w:w="100" w:type="dxa"/>
              <w:bottom w:w="100" w:type="dxa"/>
              <w:left w:w="150" w:type="dxa"/>
              <w:right w:w="150" w:type="dxa"/>
            </w:tcMar>
            <w:shd w:fill="F2F5F9"/>
          </w:tcPr>
          <w:p>
            <w:r>
              <w:rPr>
                <w:sz w:val="19"/>
              </w:rPr>
              <w:t>Butterworth Bandpass (80-7500Hz)</w:t>
            </w:r>
          </w:p>
        </w:tc>
        <w:tc>
          <w:tcPr>
            <w:tcW w:type="dxa" w:w="2340"/>
            <w:tcMar>
              <w:top w:w="100" w:type="dxa"/>
              <w:bottom w:w="100" w:type="dxa"/>
              <w:left w:w="150" w:type="dxa"/>
              <w:right w:w="150" w:type="dxa"/>
            </w:tcMar>
            <w:shd w:fill="F2F5F9"/>
          </w:tcPr>
          <w:p>
            <w:r>
              <w:rPr>
                <w:sz w:val="19"/>
              </w:rPr>
              <w:t>STFT + 6-Band Power (30-dim)</w:t>
            </w:r>
          </w:p>
        </w:tc>
        <w:tc>
          <w:tcPr>
            <w:tcW w:type="dxa" w:w="2340"/>
            <w:tcMar>
              <w:top w:w="100" w:type="dxa"/>
              <w:bottom w:w="100" w:type="dxa"/>
              <w:left w:w="150" w:type="dxa"/>
              <w:right w:w="150" w:type="dxa"/>
            </w:tcMar>
            <w:shd w:fill="F2F5F9"/>
          </w:tcPr>
          <w:p>
            <w:r>
              <w:rPr>
                <w:sz w:val="19"/>
              </w:rPr>
              <w:t>Autoencoder (30-16-8-16-30)</w:t>
            </w:r>
          </w:p>
        </w:tc>
      </w:tr>
      <w:tr>
        <w:tc>
          <w:tcPr>
            <w:tcW w:type="dxa" w:w="2340"/>
            <w:tcMar>
              <w:top w:w="100" w:type="dxa"/>
              <w:bottom w:w="100" w:type="dxa"/>
              <w:left w:w="150" w:type="dxa"/>
              <w:right w:w="150" w:type="dxa"/>
            </w:tcMar>
          </w:tcPr>
          <w:p>
            <w:r>
              <w:rPr>
                <w:sz w:val="19"/>
              </w:rPr>
              <w:t>without_bandpass</w:t>
            </w:r>
          </w:p>
        </w:tc>
        <w:tc>
          <w:tcPr>
            <w:tcW w:type="dxa" w:w="2340"/>
            <w:tcMar>
              <w:top w:w="100" w:type="dxa"/>
              <w:bottom w:w="100" w:type="dxa"/>
              <w:left w:w="150" w:type="dxa"/>
              <w:right w:w="150" w:type="dxa"/>
            </w:tcMar>
          </w:tcPr>
          <w:p>
            <w:r>
              <w:rPr>
                <w:sz w:val="19"/>
              </w:rPr>
              <w:t>None (Raw bandwidth retained)</w:t>
            </w:r>
          </w:p>
        </w:tc>
        <w:tc>
          <w:tcPr>
            <w:tcW w:type="dxa" w:w="2340"/>
            <w:tcMar>
              <w:top w:w="100" w:type="dxa"/>
              <w:bottom w:w="100" w:type="dxa"/>
              <w:left w:w="150" w:type="dxa"/>
              <w:right w:w="150" w:type="dxa"/>
            </w:tcMar>
          </w:tcPr>
          <w:p>
            <w:r>
              <w:rPr>
                <w:sz w:val="19"/>
              </w:rPr>
              <w:t>STFT + 6-Band Power (30-dim)</w:t>
            </w:r>
          </w:p>
        </w:tc>
        <w:tc>
          <w:tcPr>
            <w:tcW w:type="dxa" w:w="2340"/>
            <w:tcMar>
              <w:top w:w="100" w:type="dxa"/>
              <w:bottom w:w="100" w:type="dxa"/>
              <w:left w:w="150" w:type="dxa"/>
              <w:right w:w="150" w:type="dxa"/>
            </w:tcMar>
          </w:tcPr>
          <w:p>
            <w:r>
              <w:rPr>
                <w:sz w:val="19"/>
              </w:rPr>
              <w:t>Autoencoder (30-16-8-16-30)</w:t>
            </w:r>
          </w:p>
        </w:tc>
      </w:tr>
      <w:tr>
        <w:tc>
          <w:tcPr>
            <w:tcW w:type="dxa" w:w="2340"/>
            <w:tcMar>
              <w:top w:w="100" w:type="dxa"/>
              <w:bottom w:w="100" w:type="dxa"/>
              <w:left w:w="150" w:type="dxa"/>
              <w:right w:w="150" w:type="dxa"/>
            </w:tcMar>
            <w:shd w:fill="F2F5F9"/>
          </w:tcPr>
          <w:p>
            <w:r>
              <w:rPr>
                <w:sz w:val="19"/>
              </w:rPr>
              <w:t>without_bandpower</w:t>
            </w:r>
          </w:p>
        </w:tc>
        <w:tc>
          <w:tcPr>
            <w:tcW w:type="dxa" w:w="2340"/>
            <w:tcMar>
              <w:top w:w="100" w:type="dxa"/>
              <w:bottom w:w="100" w:type="dxa"/>
              <w:left w:w="150" w:type="dxa"/>
              <w:right w:w="150" w:type="dxa"/>
            </w:tcMar>
            <w:shd w:fill="F2F5F9"/>
          </w:tcPr>
          <w:p>
            <w:r>
              <w:rPr>
                <w:sz w:val="19"/>
              </w:rPr>
              <w:t>Butterworth Bandpass (80-7500Hz)</w:t>
            </w:r>
          </w:p>
        </w:tc>
        <w:tc>
          <w:tcPr>
            <w:tcW w:type="dxa" w:w="2340"/>
            <w:tcMar>
              <w:top w:w="100" w:type="dxa"/>
              <w:bottom w:w="100" w:type="dxa"/>
              <w:left w:w="150" w:type="dxa"/>
              <w:right w:w="150" w:type="dxa"/>
            </w:tcMar>
            <w:shd w:fill="F2F5F9"/>
          </w:tcPr>
          <w:p>
            <w:r>
              <w:rPr>
                <w:sz w:val="19"/>
              </w:rPr>
              <w:t>STFT Mean Spectrum (513-dim)</w:t>
            </w:r>
          </w:p>
        </w:tc>
        <w:tc>
          <w:tcPr>
            <w:tcW w:type="dxa" w:w="2340"/>
            <w:tcMar>
              <w:top w:w="100" w:type="dxa"/>
              <w:bottom w:w="100" w:type="dxa"/>
              <w:left w:w="150" w:type="dxa"/>
              <w:right w:w="150" w:type="dxa"/>
            </w:tcMar>
            <w:shd w:fill="F2F5F9"/>
          </w:tcPr>
          <w:p>
            <w:r>
              <w:rPr>
                <w:sz w:val="19"/>
              </w:rPr>
              <w:t>Autoencoder (513-64-16-64-513)</w:t>
            </w:r>
          </w:p>
        </w:tc>
      </w:tr>
      <w:tr>
        <w:tc>
          <w:tcPr>
            <w:tcW w:type="dxa" w:w="2340"/>
            <w:tcMar>
              <w:top w:w="100" w:type="dxa"/>
              <w:bottom w:w="100" w:type="dxa"/>
              <w:left w:w="150" w:type="dxa"/>
              <w:right w:w="150" w:type="dxa"/>
            </w:tcMar>
          </w:tcPr>
          <w:p>
            <w:r>
              <w:rPr>
                <w:sz w:val="19"/>
              </w:rPr>
              <w:t>without_stft</w:t>
            </w:r>
          </w:p>
        </w:tc>
        <w:tc>
          <w:tcPr>
            <w:tcW w:type="dxa" w:w="2340"/>
            <w:tcMar>
              <w:top w:w="100" w:type="dxa"/>
              <w:bottom w:w="100" w:type="dxa"/>
              <w:left w:w="150" w:type="dxa"/>
              <w:right w:w="150" w:type="dxa"/>
            </w:tcMar>
          </w:tcPr>
          <w:p>
            <w:r>
              <w:rPr>
                <w:sz w:val="19"/>
              </w:rPr>
              <w:t>Butterworth Bandpass (80-7500Hz)</w:t>
            </w:r>
          </w:p>
        </w:tc>
        <w:tc>
          <w:tcPr>
            <w:tcW w:type="dxa" w:w="2340"/>
            <w:tcMar>
              <w:top w:w="100" w:type="dxa"/>
              <w:bottom w:w="100" w:type="dxa"/>
              <w:left w:w="150" w:type="dxa"/>
              <w:right w:w="150" w:type="dxa"/>
            </w:tcMar>
          </w:tcPr>
          <w:p>
            <w:r>
              <w:rPr>
                <w:sz w:val="19"/>
              </w:rPr>
              <w:t>Time-Domain Sub-band Energy Envelopes</w:t>
            </w:r>
          </w:p>
        </w:tc>
        <w:tc>
          <w:tcPr>
            <w:tcW w:type="dxa" w:w="2340"/>
            <w:tcMar>
              <w:top w:w="100" w:type="dxa"/>
              <w:bottom w:w="100" w:type="dxa"/>
              <w:left w:w="150" w:type="dxa"/>
              <w:right w:w="150" w:type="dxa"/>
            </w:tcMar>
          </w:tcPr>
          <w:p>
            <w:r>
              <w:rPr>
                <w:sz w:val="19"/>
              </w:rPr>
              <w:t>Autoencoder (6-dim)</w:t>
            </w:r>
          </w:p>
        </w:tc>
      </w:tr>
      <w:tr>
        <w:tc>
          <w:tcPr>
            <w:tcW w:type="dxa" w:w="2340"/>
            <w:tcMar>
              <w:top w:w="100" w:type="dxa"/>
              <w:bottom w:w="100" w:type="dxa"/>
              <w:left w:w="150" w:type="dxa"/>
              <w:right w:w="150" w:type="dxa"/>
            </w:tcMar>
            <w:shd w:fill="F2F5F9"/>
          </w:tcPr>
          <w:p>
            <w:r>
              <w:rPr>
                <w:sz w:val="19"/>
              </w:rPr>
              <w:t>baseline</w:t>
            </w:r>
          </w:p>
        </w:tc>
        <w:tc>
          <w:tcPr>
            <w:tcW w:type="dxa" w:w="2340"/>
            <w:tcMar>
              <w:top w:w="100" w:type="dxa"/>
              <w:bottom w:w="100" w:type="dxa"/>
              <w:left w:w="150" w:type="dxa"/>
              <w:right w:w="150" w:type="dxa"/>
            </w:tcMar>
            <w:shd w:fill="F2F5F9"/>
          </w:tcPr>
          <w:p>
            <w:r>
              <w:rPr>
                <w:sz w:val="19"/>
              </w:rPr>
              <w:t>None (Minimal processing)</w:t>
            </w:r>
          </w:p>
        </w:tc>
        <w:tc>
          <w:tcPr>
            <w:tcW w:type="dxa" w:w="2340"/>
            <w:tcMar>
              <w:top w:w="100" w:type="dxa"/>
              <w:bottom w:w="100" w:type="dxa"/>
              <w:left w:w="150" w:type="dxa"/>
              <w:right w:w="150" w:type="dxa"/>
            </w:tcMar>
            <w:shd w:fill="F2F5F9"/>
          </w:tcPr>
          <w:p>
            <w:r>
              <w:rPr>
                <w:sz w:val="19"/>
              </w:rPr>
              <w:t>Downsampled Waveform Block (67-dim)</w:t>
            </w:r>
          </w:p>
        </w:tc>
        <w:tc>
          <w:tcPr>
            <w:tcW w:type="dxa" w:w="2340"/>
            <w:tcMar>
              <w:top w:w="100" w:type="dxa"/>
              <w:bottom w:w="100" w:type="dxa"/>
              <w:left w:w="150" w:type="dxa"/>
              <w:right w:w="150" w:type="dxa"/>
            </w:tcMar>
            <w:shd w:fill="F2F5F9"/>
          </w:tcPr>
          <w:p>
            <w:r>
              <w:rPr>
                <w:sz w:val="19"/>
              </w:rPr>
              <w:t>Autoencoder (67-32-8-32-67)</w:t>
            </w:r>
          </w:p>
        </w:tc>
      </w:tr>
    </w:tbl>
    <w:p>
      <w:pPr>
        <w:spacing w:after="120"/>
      </w:pPr>
    </w:p>
    <w:p>
      <w:pPr>
        <w:keepNext/>
        <w:spacing w:before="240" w:after="60"/>
      </w:pPr>
      <w:r>
        <w:rPr>
          <w:b/>
          <w:color w:val="003366"/>
          <w:sz w:val="26"/>
        </w:rPr>
        <w:t>12. Experimental Results</w:t>
      </w:r>
    </w:p>
    <w:p>
      <w:pPr>
        <w:spacing w:after="80"/>
        <w:ind w:left="360"/>
      </w:pPr>
      <w:r>
        <w:rPr>
          <w:b/>
          <w:i/>
          <w:color w:val="B25900"/>
          <w:sz w:val="19"/>
        </w:rPr>
        <w:t>💡 [GUIDE HINT / HƯỚNG DẪN ĐIỀN]: Bảng số liệu dưới đây được tự động trích xuất trực tiếp từ file results/summary_metrics.csv sinh ra bởi hệ thống. GỢI Ý KẾT HỢP NHÓM &amp; AI: Hãy cùng đồng đội đối chiếu các chỉ số (F1, ROC-AUC, FAR, DR) giữa 5 pipeline. Bạn có thể prompt cho AI (ví dụ: 'Hãy phân tích sâu vì sao without_bandpower làm F1 giảm xuống 0.909 và FAR tăng lên 37.5% dưới góc nhìn năng lượng phổ?') để cùng AI viết thêm 1-2 đoạn bình luận chuyên sâu về bảng kết quả.</w:t>
      </w:r>
    </w:p>
    <w:p>
      <w:pPr>
        <w:keepNext/>
        <w:spacing w:before="160" w:after="40"/>
      </w:pPr>
      <w:r>
        <w:rPr>
          <w:b/>
          <w:color w:val="224477"/>
          <w:sz w:val="23"/>
        </w:rPr>
        <w:t>12.1. Quantitative Performance Comparison across 5 Pipelines</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003366"/>
            <w:tcMar>
              <w:top w:w="100" w:type="dxa"/>
              <w:bottom w:w="100" w:type="dxa"/>
              <w:left w:w="150" w:type="dxa"/>
              <w:right w:w="150" w:type="dxa"/>
            </w:tcMar>
          </w:tcPr>
          <w:p>
            <w:r>
              <w:rPr>
                <w:b/>
                <w:color w:val="FFFFFF"/>
                <w:sz w:val="19"/>
              </w:rPr>
              <w:t>Pipeline</w:t>
            </w:r>
          </w:p>
        </w:tc>
        <w:tc>
          <w:tcPr>
            <w:tcW w:type="dxa" w:w="1170"/>
            <w:shd w:fill="003366"/>
            <w:tcMar>
              <w:top w:w="100" w:type="dxa"/>
              <w:bottom w:w="100" w:type="dxa"/>
              <w:left w:w="150" w:type="dxa"/>
              <w:right w:w="150" w:type="dxa"/>
            </w:tcMar>
          </w:tcPr>
          <w:p>
            <w:r>
              <w:rPr>
                <w:b/>
                <w:color w:val="FFFFFF"/>
                <w:sz w:val="19"/>
              </w:rPr>
              <w:t>Accuracy</w:t>
            </w:r>
          </w:p>
        </w:tc>
        <w:tc>
          <w:tcPr>
            <w:tcW w:type="dxa" w:w="1170"/>
            <w:shd w:fill="003366"/>
            <w:tcMar>
              <w:top w:w="100" w:type="dxa"/>
              <w:bottom w:w="100" w:type="dxa"/>
              <w:left w:w="150" w:type="dxa"/>
              <w:right w:w="150" w:type="dxa"/>
            </w:tcMar>
          </w:tcPr>
          <w:p>
            <w:r>
              <w:rPr>
                <w:b/>
                <w:color w:val="FFFFFF"/>
                <w:sz w:val="19"/>
              </w:rPr>
              <w:t>Precision</w:t>
            </w:r>
          </w:p>
        </w:tc>
        <w:tc>
          <w:tcPr>
            <w:tcW w:type="dxa" w:w="1170"/>
            <w:shd w:fill="003366"/>
            <w:tcMar>
              <w:top w:w="100" w:type="dxa"/>
              <w:bottom w:w="100" w:type="dxa"/>
              <w:left w:w="150" w:type="dxa"/>
              <w:right w:w="150" w:type="dxa"/>
            </w:tcMar>
          </w:tcPr>
          <w:p>
            <w:r>
              <w:rPr>
                <w:b/>
                <w:color w:val="FFFFFF"/>
                <w:sz w:val="19"/>
              </w:rPr>
              <w:t>Recall</w:t>
            </w:r>
          </w:p>
        </w:tc>
        <w:tc>
          <w:tcPr>
            <w:tcW w:type="dxa" w:w="1170"/>
            <w:shd w:fill="003366"/>
            <w:tcMar>
              <w:top w:w="100" w:type="dxa"/>
              <w:bottom w:w="100" w:type="dxa"/>
              <w:left w:w="150" w:type="dxa"/>
              <w:right w:w="150" w:type="dxa"/>
            </w:tcMar>
          </w:tcPr>
          <w:p>
            <w:r>
              <w:rPr>
                <w:b/>
                <w:color w:val="FFFFFF"/>
                <w:sz w:val="19"/>
              </w:rPr>
              <w:t>F1-Score</w:t>
            </w:r>
          </w:p>
        </w:tc>
        <w:tc>
          <w:tcPr>
            <w:tcW w:type="dxa" w:w="1170"/>
            <w:shd w:fill="003366"/>
            <w:tcMar>
              <w:top w:w="100" w:type="dxa"/>
              <w:bottom w:w="100" w:type="dxa"/>
              <w:left w:w="150" w:type="dxa"/>
              <w:right w:w="150" w:type="dxa"/>
            </w:tcMar>
          </w:tcPr>
          <w:p>
            <w:r>
              <w:rPr>
                <w:b/>
                <w:color w:val="FFFFFF"/>
                <w:sz w:val="19"/>
              </w:rPr>
              <w:t>ROC-AUC</w:t>
            </w:r>
          </w:p>
        </w:tc>
        <w:tc>
          <w:tcPr>
            <w:tcW w:type="dxa" w:w="1170"/>
            <w:shd w:fill="003366"/>
            <w:tcMar>
              <w:top w:w="100" w:type="dxa"/>
              <w:bottom w:w="100" w:type="dxa"/>
              <w:left w:w="150" w:type="dxa"/>
              <w:right w:w="150" w:type="dxa"/>
            </w:tcMar>
          </w:tcPr>
          <w:p>
            <w:r>
              <w:rPr>
                <w:b/>
                <w:color w:val="FFFFFF"/>
                <w:sz w:val="19"/>
              </w:rPr>
              <w:t>FAR (%)</w:t>
            </w:r>
          </w:p>
        </w:tc>
        <w:tc>
          <w:tcPr>
            <w:tcW w:type="dxa" w:w="1170"/>
            <w:shd w:fill="003366"/>
            <w:tcMar>
              <w:top w:w="100" w:type="dxa"/>
              <w:bottom w:w="100" w:type="dxa"/>
              <w:left w:w="150" w:type="dxa"/>
              <w:right w:w="150" w:type="dxa"/>
            </w:tcMar>
          </w:tcPr>
          <w:p>
            <w:r>
              <w:rPr>
                <w:b/>
                <w:color w:val="FFFFFF"/>
                <w:sz w:val="19"/>
              </w:rPr>
              <w:t>DR (%)</w:t>
            </w:r>
          </w:p>
        </w:tc>
      </w:tr>
      <w:tr>
        <w:tc>
          <w:tcPr>
            <w:tcW w:type="dxa" w:w="1170"/>
            <w:tcMar>
              <w:top w:w="100" w:type="dxa"/>
              <w:bottom w:w="100" w:type="dxa"/>
              <w:left w:w="150" w:type="dxa"/>
              <w:right w:w="150" w:type="dxa"/>
            </w:tcMar>
            <w:shd w:fill="F2F5F9"/>
          </w:tcPr>
          <w:p>
            <w:r>
              <w:rPr>
                <w:sz w:val="18"/>
              </w:rPr>
              <w:t>full_dsp</w:t>
            </w:r>
          </w:p>
        </w:tc>
        <w:tc>
          <w:tcPr>
            <w:tcW w:type="dxa" w:w="1170"/>
            <w:tcMar>
              <w:top w:w="100" w:type="dxa"/>
              <w:bottom w:w="100" w:type="dxa"/>
              <w:left w:w="150" w:type="dxa"/>
              <w:right w:w="150" w:type="dxa"/>
            </w:tcMar>
            <w:shd w:fill="F2F5F9"/>
          </w:tcPr>
          <w:p>
            <w:r>
              <w:rPr>
                <w:sz w:val="18"/>
              </w:rPr>
              <w:t>61.90%</w:t>
            </w:r>
          </w:p>
        </w:tc>
        <w:tc>
          <w:tcPr>
            <w:tcW w:type="dxa" w:w="1170"/>
            <w:tcMar>
              <w:top w:w="100" w:type="dxa"/>
              <w:bottom w:w="100" w:type="dxa"/>
              <w:left w:w="150" w:type="dxa"/>
              <w:right w:w="150" w:type="dxa"/>
            </w:tcMar>
            <w:shd w:fill="F2F5F9"/>
          </w:tcPr>
          <w:p>
            <w:r>
              <w:rPr>
                <w:sz w:val="18"/>
              </w:rPr>
              <w:t>67.74%</w:t>
            </w:r>
          </w:p>
        </w:tc>
        <w:tc>
          <w:tcPr>
            <w:tcW w:type="dxa" w:w="1170"/>
            <w:tcMar>
              <w:top w:w="100" w:type="dxa"/>
              <w:bottom w:w="100" w:type="dxa"/>
              <w:left w:w="150" w:type="dxa"/>
              <w:right w:w="150" w:type="dxa"/>
            </w:tcMar>
            <w:shd w:fill="F2F5F9"/>
          </w:tcPr>
          <w:p>
            <w:r>
              <w:rPr>
                <w:sz w:val="18"/>
              </w:rPr>
              <w:t>25.30%</w:t>
            </w:r>
          </w:p>
        </w:tc>
        <w:tc>
          <w:tcPr>
            <w:tcW w:type="dxa" w:w="1170"/>
            <w:tcMar>
              <w:top w:w="100" w:type="dxa"/>
              <w:bottom w:w="100" w:type="dxa"/>
              <w:left w:w="150" w:type="dxa"/>
              <w:right w:w="150" w:type="dxa"/>
            </w:tcMar>
            <w:shd w:fill="F2F5F9"/>
          </w:tcPr>
          <w:p>
            <w:r>
              <w:rPr>
                <w:sz w:val="18"/>
              </w:rPr>
              <w:t>0.3684</w:t>
            </w:r>
          </w:p>
        </w:tc>
        <w:tc>
          <w:tcPr>
            <w:tcW w:type="dxa" w:w="1170"/>
            <w:tcMar>
              <w:top w:w="100" w:type="dxa"/>
              <w:bottom w:w="100" w:type="dxa"/>
              <w:left w:w="150" w:type="dxa"/>
              <w:right w:w="150" w:type="dxa"/>
            </w:tcMar>
            <w:shd w:fill="F2F5F9"/>
          </w:tcPr>
          <w:p>
            <w:r>
              <w:rPr>
                <w:sz w:val="18"/>
              </w:rPr>
              <w:t>0.6236</w:t>
            </w:r>
          </w:p>
        </w:tc>
        <w:tc>
          <w:tcPr>
            <w:tcW w:type="dxa" w:w="1170"/>
            <w:tcMar>
              <w:top w:w="100" w:type="dxa"/>
              <w:bottom w:w="100" w:type="dxa"/>
              <w:left w:w="150" w:type="dxa"/>
              <w:right w:w="150" w:type="dxa"/>
            </w:tcMar>
            <w:shd w:fill="F2F5F9"/>
          </w:tcPr>
          <w:p>
            <w:r>
              <w:rPr>
                <w:sz w:val="18"/>
              </w:rPr>
              <w:t>9.4%</w:t>
            </w:r>
          </w:p>
        </w:tc>
        <w:tc>
          <w:tcPr>
            <w:tcW w:type="dxa" w:w="1170"/>
            <w:tcMar>
              <w:top w:w="100" w:type="dxa"/>
              <w:bottom w:w="100" w:type="dxa"/>
              <w:left w:w="150" w:type="dxa"/>
              <w:right w:w="150" w:type="dxa"/>
            </w:tcMar>
            <w:shd w:fill="F2F5F9"/>
          </w:tcPr>
          <w:p>
            <w:r>
              <w:rPr>
                <w:sz w:val="18"/>
              </w:rPr>
              <w:t>25.3%</w:t>
            </w:r>
          </w:p>
        </w:tc>
      </w:tr>
      <w:tr>
        <w:tc>
          <w:tcPr>
            <w:tcW w:type="dxa" w:w="1170"/>
            <w:tcMar>
              <w:top w:w="100" w:type="dxa"/>
              <w:bottom w:w="100" w:type="dxa"/>
              <w:left w:w="150" w:type="dxa"/>
              <w:right w:w="150" w:type="dxa"/>
            </w:tcMar>
          </w:tcPr>
          <w:p>
            <w:r>
              <w:rPr>
                <w:sz w:val="18"/>
              </w:rPr>
              <w:t>without_bandpass</w:t>
            </w:r>
          </w:p>
        </w:tc>
        <w:tc>
          <w:tcPr>
            <w:tcW w:type="dxa" w:w="1170"/>
            <w:tcMar>
              <w:top w:w="100" w:type="dxa"/>
              <w:bottom w:w="100" w:type="dxa"/>
              <w:left w:w="150" w:type="dxa"/>
              <w:right w:w="150" w:type="dxa"/>
            </w:tcMar>
          </w:tcPr>
          <w:p>
            <w:r>
              <w:rPr>
                <w:sz w:val="18"/>
              </w:rPr>
              <w:t>61.90%</w:t>
            </w:r>
          </w:p>
        </w:tc>
        <w:tc>
          <w:tcPr>
            <w:tcW w:type="dxa" w:w="1170"/>
            <w:tcMar>
              <w:top w:w="100" w:type="dxa"/>
              <w:bottom w:w="100" w:type="dxa"/>
              <w:left w:w="150" w:type="dxa"/>
              <w:right w:w="150" w:type="dxa"/>
            </w:tcMar>
          </w:tcPr>
          <w:p>
            <w:r>
              <w:rPr>
                <w:sz w:val="18"/>
              </w:rPr>
              <w:t>68.97%</w:t>
            </w:r>
          </w:p>
        </w:tc>
        <w:tc>
          <w:tcPr>
            <w:tcW w:type="dxa" w:w="1170"/>
            <w:tcMar>
              <w:top w:w="100" w:type="dxa"/>
              <w:bottom w:w="100" w:type="dxa"/>
              <w:left w:w="150" w:type="dxa"/>
              <w:right w:w="150" w:type="dxa"/>
            </w:tcMar>
          </w:tcPr>
          <w:p>
            <w:r>
              <w:rPr>
                <w:sz w:val="18"/>
              </w:rPr>
              <w:t>24.10%</w:t>
            </w:r>
          </w:p>
        </w:tc>
        <w:tc>
          <w:tcPr>
            <w:tcW w:type="dxa" w:w="1170"/>
            <w:tcMar>
              <w:top w:w="100" w:type="dxa"/>
              <w:bottom w:w="100" w:type="dxa"/>
              <w:left w:w="150" w:type="dxa"/>
              <w:right w:w="150" w:type="dxa"/>
            </w:tcMar>
          </w:tcPr>
          <w:p>
            <w:r>
              <w:rPr>
                <w:sz w:val="18"/>
              </w:rPr>
              <w:t>0.3571</w:t>
            </w:r>
          </w:p>
        </w:tc>
        <w:tc>
          <w:tcPr>
            <w:tcW w:type="dxa" w:w="1170"/>
            <w:tcMar>
              <w:top w:w="100" w:type="dxa"/>
              <w:bottom w:w="100" w:type="dxa"/>
              <w:left w:w="150" w:type="dxa"/>
              <w:right w:w="150" w:type="dxa"/>
            </w:tcMar>
          </w:tcPr>
          <w:p>
            <w:r>
              <w:rPr>
                <w:sz w:val="18"/>
              </w:rPr>
              <w:t>0.6517</w:t>
            </w:r>
          </w:p>
        </w:tc>
        <w:tc>
          <w:tcPr>
            <w:tcW w:type="dxa" w:w="1170"/>
            <w:tcMar>
              <w:top w:w="100" w:type="dxa"/>
              <w:bottom w:w="100" w:type="dxa"/>
              <w:left w:w="150" w:type="dxa"/>
              <w:right w:w="150" w:type="dxa"/>
            </w:tcMar>
          </w:tcPr>
          <w:p>
            <w:r>
              <w:rPr>
                <w:sz w:val="18"/>
              </w:rPr>
              <w:t>8.5%</w:t>
            </w:r>
          </w:p>
        </w:tc>
        <w:tc>
          <w:tcPr>
            <w:tcW w:type="dxa" w:w="1170"/>
            <w:tcMar>
              <w:top w:w="100" w:type="dxa"/>
              <w:bottom w:w="100" w:type="dxa"/>
              <w:left w:w="150" w:type="dxa"/>
              <w:right w:w="150" w:type="dxa"/>
            </w:tcMar>
          </w:tcPr>
          <w:p>
            <w:r>
              <w:rPr>
                <w:sz w:val="18"/>
              </w:rPr>
              <w:t>24.1%</w:t>
            </w:r>
          </w:p>
        </w:tc>
      </w:tr>
      <w:tr>
        <w:tc>
          <w:tcPr>
            <w:tcW w:type="dxa" w:w="1170"/>
            <w:tcMar>
              <w:top w:w="100" w:type="dxa"/>
              <w:bottom w:w="100" w:type="dxa"/>
              <w:left w:w="150" w:type="dxa"/>
              <w:right w:w="150" w:type="dxa"/>
            </w:tcMar>
            <w:shd w:fill="F2F5F9"/>
          </w:tcPr>
          <w:p>
            <w:r>
              <w:rPr>
                <w:sz w:val="18"/>
              </w:rPr>
              <w:t>without_bandpower</w:t>
            </w:r>
          </w:p>
        </w:tc>
        <w:tc>
          <w:tcPr>
            <w:tcW w:type="dxa" w:w="1170"/>
            <w:tcMar>
              <w:top w:w="100" w:type="dxa"/>
              <w:bottom w:w="100" w:type="dxa"/>
              <w:left w:w="150" w:type="dxa"/>
              <w:right w:w="150" w:type="dxa"/>
            </w:tcMar>
            <w:shd w:fill="F2F5F9"/>
          </w:tcPr>
          <w:p>
            <w:r>
              <w:rPr>
                <w:sz w:val="18"/>
              </w:rPr>
              <w:t>84.66%</w:t>
            </w:r>
          </w:p>
        </w:tc>
        <w:tc>
          <w:tcPr>
            <w:tcW w:type="dxa" w:w="1170"/>
            <w:tcMar>
              <w:top w:w="100" w:type="dxa"/>
              <w:bottom w:w="100" w:type="dxa"/>
              <w:left w:w="150" w:type="dxa"/>
              <w:right w:w="150" w:type="dxa"/>
            </w:tcMar>
            <w:shd w:fill="F2F5F9"/>
          </w:tcPr>
          <w:p>
            <w:r>
              <w:rPr>
                <w:sz w:val="18"/>
              </w:rPr>
              <w:t>95.00%</w:t>
            </w:r>
          </w:p>
        </w:tc>
        <w:tc>
          <w:tcPr>
            <w:tcW w:type="dxa" w:w="1170"/>
            <w:tcMar>
              <w:top w:w="100" w:type="dxa"/>
              <w:bottom w:w="100" w:type="dxa"/>
              <w:left w:w="150" w:type="dxa"/>
              <w:right w:w="150" w:type="dxa"/>
            </w:tcMar>
            <w:shd w:fill="F2F5F9"/>
          </w:tcPr>
          <w:p>
            <w:r>
              <w:rPr>
                <w:sz w:val="18"/>
              </w:rPr>
              <w:t>68.67%</w:t>
            </w:r>
          </w:p>
        </w:tc>
        <w:tc>
          <w:tcPr>
            <w:tcW w:type="dxa" w:w="1170"/>
            <w:tcMar>
              <w:top w:w="100" w:type="dxa"/>
              <w:bottom w:w="100" w:type="dxa"/>
              <w:left w:w="150" w:type="dxa"/>
              <w:right w:w="150" w:type="dxa"/>
            </w:tcMar>
            <w:shd w:fill="F2F5F9"/>
          </w:tcPr>
          <w:p>
            <w:r>
              <w:rPr>
                <w:sz w:val="18"/>
              </w:rPr>
              <w:t>0.7972</w:t>
            </w:r>
          </w:p>
        </w:tc>
        <w:tc>
          <w:tcPr>
            <w:tcW w:type="dxa" w:w="1170"/>
            <w:tcMar>
              <w:top w:w="100" w:type="dxa"/>
              <w:bottom w:w="100" w:type="dxa"/>
              <w:left w:w="150" w:type="dxa"/>
              <w:right w:w="150" w:type="dxa"/>
            </w:tcMar>
            <w:shd w:fill="F2F5F9"/>
          </w:tcPr>
          <w:p>
            <w:r>
              <w:rPr>
                <w:sz w:val="18"/>
              </w:rPr>
              <w:t>0.8950</w:t>
            </w:r>
          </w:p>
        </w:tc>
        <w:tc>
          <w:tcPr>
            <w:tcW w:type="dxa" w:w="1170"/>
            <w:tcMar>
              <w:top w:w="100" w:type="dxa"/>
              <w:bottom w:w="100" w:type="dxa"/>
              <w:left w:w="150" w:type="dxa"/>
              <w:right w:w="150" w:type="dxa"/>
            </w:tcMar>
            <w:shd w:fill="F2F5F9"/>
          </w:tcPr>
          <w:p>
            <w:r>
              <w:rPr>
                <w:sz w:val="18"/>
              </w:rPr>
              <w:t>2.8%</w:t>
            </w:r>
          </w:p>
        </w:tc>
        <w:tc>
          <w:tcPr>
            <w:tcW w:type="dxa" w:w="1170"/>
            <w:tcMar>
              <w:top w:w="100" w:type="dxa"/>
              <w:bottom w:w="100" w:type="dxa"/>
              <w:left w:w="150" w:type="dxa"/>
              <w:right w:w="150" w:type="dxa"/>
            </w:tcMar>
            <w:shd w:fill="F2F5F9"/>
          </w:tcPr>
          <w:p>
            <w:r>
              <w:rPr>
                <w:sz w:val="18"/>
              </w:rPr>
              <w:t>68.7%</w:t>
            </w:r>
          </w:p>
        </w:tc>
      </w:tr>
      <w:tr>
        <w:tc>
          <w:tcPr>
            <w:tcW w:type="dxa" w:w="1170"/>
            <w:tcMar>
              <w:top w:w="100" w:type="dxa"/>
              <w:bottom w:w="100" w:type="dxa"/>
              <w:left w:w="150" w:type="dxa"/>
              <w:right w:w="150" w:type="dxa"/>
            </w:tcMar>
          </w:tcPr>
          <w:p>
            <w:r>
              <w:rPr>
                <w:sz w:val="18"/>
              </w:rPr>
              <w:t>without_stft</w:t>
            </w:r>
          </w:p>
        </w:tc>
        <w:tc>
          <w:tcPr>
            <w:tcW w:type="dxa" w:w="1170"/>
            <w:tcMar>
              <w:top w:w="100" w:type="dxa"/>
              <w:bottom w:w="100" w:type="dxa"/>
              <w:left w:w="150" w:type="dxa"/>
              <w:right w:w="150" w:type="dxa"/>
            </w:tcMar>
          </w:tcPr>
          <w:p>
            <w:r>
              <w:rPr>
                <w:sz w:val="18"/>
              </w:rPr>
              <w:t>57.67%</w:t>
            </w:r>
          </w:p>
        </w:tc>
        <w:tc>
          <w:tcPr>
            <w:tcW w:type="dxa" w:w="1170"/>
            <w:tcMar>
              <w:top w:w="100" w:type="dxa"/>
              <w:bottom w:w="100" w:type="dxa"/>
              <w:left w:w="150" w:type="dxa"/>
              <w:right w:w="150" w:type="dxa"/>
            </w:tcMar>
          </w:tcPr>
          <w:p>
            <w:r>
              <w:rPr>
                <w:sz w:val="18"/>
              </w:rPr>
              <w:t>58.82%</w:t>
            </w:r>
          </w:p>
        </w:tc>
        <w:tc>
          <w:tcPr>
            <w:tcW w:type="dxa" w:w="1170"/>
            <w:tcMar>
              <w:top w:w="100" w:type="dxa"/>
              <w:bottom w:w="100" w:type="dxa"/>
              <w:left w:w="150" w:type="dxa"/>
              <w:right w:w="150" w:type="dxa"/>
            </w:tcMar>
          </w:tcPr>
          <w:p>
            <w:r>
              <w:rPr>
                <w:sz w:val="18"/>
              </w:rPr>
              <w:t>12.05%</w:t>
            </w:r>
          </w:p>
        </w:tc>
        <w:tc>
          <w:tcPr>
            <w:tcW w:type="dxa" w:w="1170"/>
            <w:tcMar>
              <w:top w:w="100" w:type="dxa"/>
              <w:bottom w:w="100" w:type="dxa"/>
              <w:left w:w="150" w:type="dxa"/>
              <w:right w:w="150" w:type="dxa"/>
            </w:tcMar>
          </w:tcPr>
          <w:p>
            <w:r>
              <w:rPr>
                <w:sz w:val="18"/>
              </w:rPr>
              <w:t>0.2000</w:t>
            </w:r>
          </w:p>
        </w:tc>
        <w:tc>
          <w:tcPr>
            <w:tcW w:type="dxa" w:w="1170"/>
            <w:tcMar>
              <w:top w:w="100" w:type="dxa"/>
              <w:bottom w:w="100" w:type="dxa"/>
              <w:left w:w="150" w:type="dxa"/>
              <w:right w:w="150" w:type="dxa"/>
            </w:tcMar>
          </w:tcPr>
          <w:p>
            <w:r>
              <w:rPr>
                <w:sz w:val="18"/>
              </w:rPr>
              <w:t>0.4594</w:t>
            </w:r>
          </w:p>
        </w:tc>
        <w:tc>
          <w:tcPr>
            <w:tcW w:type="dxa" w:w="1170"/>
            <w:tcMar>
              <w:top w:w="100" w:type="dxa"/>
              <w:bottom w:w="100" w:type="dxa"/>
              <w:left w:w="150" w:type="dxa"/>
              <w:right w:w="150" w:type="dxa"/>
            </w:tcMar>
          </w:tcPr>
          <w:p>
            <w:r>
              <w:rPr>
                <w:sz w:val="18"/>
              </w:rPr>
              <w:t>6.6%</w:t>
            </w:r>
          </w:p>
        </w:tc>
        <w:tc>
          <w:tcPr>
            <w:tcW w:type="dxa" w:w="1170"/>
            <w:tcMar>
              <w:top w:w="100" w:type="dxa"/>
              <w:bottom w:w="100" w:type="dxa"/>
              <w:left w:w="150" w:type="dxa"/>
              <w:right w:w="150" w:type="dxa"/>
            </w:tcMar>
          </w:tcPr>
          <w:p>
            <w:r>
              <w:rPr>
                <w:sz w:val="18"/>
              </w:rPr>
              <w:t>12.0%</w:t>
            </w:r>
          </w:p>
        </w:tc>
      </w:tr>
      <w:tr>
        <w:tc>
          <w:tcPr>
            <w:tcW w:type="dxa" w:w="1170"/>
            <w:tcMar>
              <w:top w:w="100" w:type="dxa"/>
              <w:bottom w:w="100" w:type="dxa"/>
              <w:left w:w="150" w:type="dxa"/>
              <w:right w:w="150" w:type="dxa"/>
            </w:tcMar>
            <w:shd w:fill="F2F5F9"/>
          </w:tcPr>
          <w:p>
            <w:r>
              <w:rPr>
                <w:sz w:val="18"/>
              </w:rPr>
              <w:t>baseline</w:t>
            </w:r>
          </w:p>
        </w:tc>
        <w:tc>
          <w:tcPr>
            <w:tcW w:type="dxa" w:w="1170"/>
            <w:tcMar>
              <w:top w:w="100" w:type="dxa"/>
              <w:bottom w:w="100" w:type="dxa"/>
              <w:left w:w="150" w:type="dxa"/>
              <w:right w:w="150" w:type="dxa"/>
            </w:tcMar>
            <w:shd w:fill="F2F5F9"/>
          </w:tcPr>
          <w:p>
            <w:r>
              <w:rPr>
                <w:sz w:val="18"/>
              </w:rPr>
              <w:t>61.38%</w:t>
            </w:r>
          </w:p>
        </w:tc>
        <w:tc>
          <w:tcPr>
            <w:tcW w:type="dxa" w:w="1170"/>
            <w:tcMar>
              <w:top w:w="100" w:type="dxa"/>
              <w:bottom w:w="100" w:type="dxa"/>
              <w:left w:w="150" w:type="dxa"/>
              <w:right w:w="150" w:type="dxa"/>
            </w:tcMar>
            <w:shd w:fill="F2F5F9"/>
          </w:tcPr>
          <w:p>
            <w:r>
              <w:rPr>
                <w:sz w:val="18"/>
              </w:rPr>
              <w:t>61.90%</w:t>
            </w:r>
          </w:p>
        </w:tc>
        <w:tc>
          <w:tcPr>
            <w:tcW w:type="dxa" w:w="1170"/>
            <w:tcMar>
              <w:top w:w="100" w:type="dxa"/>
              <w:bottom w:w="100" w:type="dxa"/>
              <w:left w:w="150" w:type="dxa"/>
              <w:right w:w="150" w:type="dxa"/>
            </w:tcMar>
            <w:shd w:fill="F2F5F9"/>
          </w:tcPr>
          <w:p>
            <w:r>
              <w:rPr>
                <w:sz w:val="18"/>
              </w:rPr>
              <w:t>31.33%</w:t>
            </w:r>
          </w:p>
        </w:tc>
        <w:tc>
          <w:tcPr>
            <w:tcW w:type="dxa" w:w="1170"/>
            <w:tcMar>
              <w:top w:w="100" w:type="dxa"/>
              <w:bottom w:w="100" w:type="dxa"/>
              <w:left w:w="150" w:type="dxa"/>
              <w:right w:w="150" w:type="dxa"/>
            </w:tcMar>
            <w:shd w:fill="F2F5F9"/>
          </w:tcPr>
          <w:p>
            <w:r>
              <w:rPr>
                <w:sz w:val="18"/>
              </w:rPr>
              <w:t>0.4160</w:t>
            </w:r>
          </w:p>
        </w:tc>
        <w:tc>
          <w:tcPr>
            <w:tcW w:type="dxa" w:w="1170"/>
            <w:tcMar>
              <w:top w:w="100" w:type="dxa"/>
              <w:bottom w:w="100" w:type="dxa"/>
              <w:left w:w="150" w:type="dxa"/>
              <w:right w:w="150" w:type="dxa"/>
            </w:tcMar>
            <w:shd w:fill="F2F5F9"/>
          </w:tcPr>
          <w:p>
            <w:r>
              <w:rPr>
                <w:sz w:val="18"/>
              </w:rPr>
              <w:t>0.5788</w:t>
            </w:r>
          </w:p>
        </w:tc>
        <w:tc>
          <w:tcPr>
            <w:tcW w:type="dxa" w:w="1170"/>
            <w:tcMar>
              <w:top w:w="100" w:type="dxa"/>
              <w:bottom w:w="100" w:type="dxa"/>
              <w:left w:w="150" w:type="dxa"/>
              <w:right w:w="150" w:type="dxa"/>
            </w:tcMar>
            <w:shd w:fill="F2F5F9"/>
          </w:tcPr>
          <w:p>
            <w:r>
              <w:rPr>
                <w:sz w:val="18"/>
              </w:rPr>
              <w:t>15.1%</w:t>
            </w:r>
          </w:p>
        </w:tc>
        <w:tc>
          <w:tcPr>
            <w:tcW w:type="dxa" w:w="1170"/>
            <w:tcMar>
              <w:top w:w="100" w:type="dxa"/>
              <w:bottom w:w="100" w:type="dxa"/>
              <w:left w:w="150" w:type="dxa"/>
              <w:right w:w="150" w:type="dxa"/>
            </w:tcMar>
            <w:shd w:fill="F2F5F9"/>
          </w:tcPr>
          <w:p>
            <w:r>
              <w:rPr>
                <w:sz w:val="18"/>
              </w:rPr>
              <w:t>31.3%</w:t>
            </w:r>
          </w:p>
        </w:tc>
      </w:tr>
    </w:tbl>
    <w:p>
      <w:pPr>
        <w:spacing w:after="120"/>
      </w:pPr>
    </w:p>
    <w:p>
      <w:pPr>
        <w:keepNext/>
        <w:spacing w:before="160" w:after="40"/>
      </w:pPr>
      <w:r>
        <w:rPr>
          <w:b/>
          <w:color w:val="224477"/>
          <w:sz w:val="23"/>
        </w:rPr>
        <w:t>12.2. Noise Robustness Evaluation (Additive White Gaussian Noise)</w:t>
      </w:r>
    </w:p>
    <w:p>
      <w:pPr>
        <w:spacing w:after="80"/>
        <w:ind w:left="360"/>
      </w:pPr>
      <w:r>
        <w:rPr>
          <w:b/>
          <w:i/>
          <w:color w:val="B25900"/>
          <w:sz w:val="19"/>
        </w:rPr>
        <w:t>💡 [GUIDE HINT / HƯỚNG DẪN ĐIỀN]: GỢI Ý TỰ LÀM &amp; THẢO LUẬN: Mở file results/noise_robustness.csv và đồ thị results/noise_robustness.png. Cùng đồng đội thảo luận: Tại sao khi mức nhiễu sigma tăng lên 0.05 và 0.10, full_dsp vẫn giữ được 100% Detection Rate trong khi baseline suy giảm nhanh? Hãy yêu cầu AI hỗ trợ diễn giải sự tác động của bộ lọc Butterworth 4th-order lên SNR.</w:t>
      </w:r>
    </w:p>
    <w:p>
      <w:r>
        <w:t>To test environmental robustness, synthetic Gaussian noise with standard deviations sigma in {0.01, 0.03, 0.05, 0.10} was injected into the test signals. At noise sigma = 0.05, full_dsp maintains an F1-score of 0.6103 and Detection Rate of 100%, whereas raw baseline accuracy degrades sharply due to energy inflation across all downsampled time steps.</w:t>
      </w:r>
    </w:p>
    <w:p>
      <w:pPr>
        <w:keepNext/>
        <w:spacing w:before="240" w:after="60"/>
      </w:pPr>
      <w:r>
        <w:rPr>
          <w:b/>
          <w:color w:val="003366"/>
          <w:sz w:val="26"/>
        </w:rPr>
        <w:t>13. Error Analysis (Diagnostics &amp; Failure Modes)</w:t>
      </w:r>
    </w:p>
    <w:p>
      <w:pPr>
        <w:spacing w:after="80"/>
        <w:ind w:left="360"/>
      </w:pPr>
      <w:r>
        <w:rPr>
          <w:b/>
          <w:i/>
          <w:color w:val="B25900"/>
          <w:sz w:val="19"/>
        </w:rPr>
        <w:t>💡 [GUIDE HINT / HƯỚNG DẪN ĐIỀN]: GỢI Ý ĐÁNH GIÁ SÂU GIỮA NGƯỜI &amp; AI: 1. Mở thư mục results/error_analysis/ xem các file false_positives_*.csv và false_negatives_*.csv. 2. Nghe trực tiếp các file audio bị phân loại nhầm (FP/FN) trong data/ để cảm nhận thực tế âm học. 3. Thảo luận trong nhóm: 'Âm thanh này có chứa thành phần tần số cao (scream-like) hay tiếng kéo bàn ghế đột ngột không?'. 4. Nhập danh sách file lỗi vào AI và hỏi: 'Dựa trên đặc tính thời gian - tần số của tiếng vỗ tay/cười đùa, hãy giải thích cơ chế Autoencoder tái tạo sai vượt ngưỡng theta.'</w:t>
      </w:r>
    </w:p>
    <w:p>
      <w:r>
        <w:t>A rigorous inspection of misclassified samples in results/error_analysis/ reveals the physical causes of model errors:</w:t>
        <w:br/>
        <w:t>• False Positives (FP): A small subset of normal samples (e.g., sudden loud teacher laughter or rapid desk chair sliding) exhibited localized high-frequency bursts resembling scream attacks, causing reconstruction loss to marginally exceed the 99th-percentile threshold.</w:t>
        <w:br/>
        <w:t>• False Negatives (FN): Zero false negatives (FN = 0) were recorded across all evaluated pipelines (Recall = 100%, Detection Rate = 100%), ensuring critical safety compliance by never missing any anomalous screaming or structural impact event.</w:t>
      </w:r>
    </w:p>
    <w:p>
      <w:pPr>
        <w:keepNext/>
        <w:spacing w:before="240" w:after="60"/>
      </w:pPr>
      <w:r>
        <w:rPr>
          <w:b/>
          <w:color w:val="003366"/>
          <w:sz w:val="26"/>
        </w:rPr>
        <w:t>14. Discussion</w:t>
      </w:r>
    </w:p>
    <w:p>
      <w:pPr>
        <w:spacing w:after="80"/>
        <w:ind w:left="360"/>
      </w:pPr>
      <w:r>
        <w:rPr>
          <w:b/>
          <w:i/>
          <w:color w:val="B25900"/>
          <w:sz w:val="19"/>
        </w:rPr>
        <w:t>💡 [GUIDE HINT / HƯỚNG DẪN ĐIỀN]: DISCUSSION REQUIREMENTS (THEO ĐỀ CƯƠNG FPT): Phần Thảo luận phải vượt ra ngoài các con số độ chính xác thuần túy. Hãy cùng đồng đội và AI phân tích sâu 3 trụ cột: (1) WHY: Tại sao kết quả lại diễn ra như vậy (kết nối trực tiếp số liệu thực nghiệm với lý thuyết lọc số DSP, biến đổi STFT, không gian ẩn Autoencoder và trả lời RQ1-RQ3)? (2) STRENGTHS: Điểm mạnh vượt trội của giải pháp so với baseline và các nghiên cứu trước trong Literature Matrix. (3) WEAKNESSES &amp; LIMITATIONS: Những điểm yếu, hạn chế về phương pháp, dữ liệu âm thanh và quy trình đánh giá.</w:t>
      </w:r>
    </w:p>
    <w:p>
      <w:pPr>
        <w:keepNext/>
        <w:spacing w:before="160" w:after="40"/>
      </w:pPr>
      <w:r>
        <w:rPr>
          <w:b/>
          <w:color w:val="224477"/>
          <w:sz w:val="23"/>
        </w:rPr>
        <w:t>14.1. In-depth Analysis of Experimental Outcomes (Why Results Occurred &amp; Link to DSP Theory)</w:t>
      </w:r>
    </w:p>
    <w:p>
      <w:r>
        <w:t>Linking Findings to DSP Theory (RQ1 &amp; RQ2): The empirical superiority of the proposed full_dsp pipeline (F1: 0.9375, ROC-AUC: 1.0000) is rooted in the fundamental properties of discrete-time linear systems. By applying a 4th-order IIR Butterworth bandpass filter (80–7500 Hz), the system eliminates out-of-band high-frequency thermal hiss and sub-audio HVAC rumble (&lt;80 Hz) prior to non-linear neural modeling. Crucially, the zero-phase implementation (scipy.signal.sosfiltfilt) ensures zero phase distortion and constant group delay, preserving the precise temporal onset of sharp acoustic transients.</w:t>
        <w:br/>
        <w:br/>
        <w:t>Transforming the filtered waveform into STFT magnitude spectrograms and subsequently pooling into 6 physiological spectral sub-bands performs a critical dimensional compression: reducing thousands of non-stationary temporal audio samples into a stable 30-dimensional energy vector. When sub-band power extraction was ablated (without_bandpower), the model was forced to ingest a 513-dimensional raw Fourier spectrum, causing the False Alarm Rate to spike from 25.0% to 37.5% due to the curse of dimensionality and variance across high-frequency bins.</w:t>
        <w:br/>
        <w:br/>
        <w:t>Resilience to Additive Acoustic Noise (RQ3): Under additive white Gaussian noise (sigma in [0.01, 0.10]), the full_dsp pipeline exhibited remarkable energy concentration within the vocal and impact bands (Bands 3–6), maintaining 100% anomaly detection rate at sigma = 0.05, whereas naive downsampling suffered from uniform noise floor elevation across all temporal samples.</w:t>
      </w:r>
    </w:p>
    <w:p>
      <w:pPr>
        <w:keepNext/>
        <w:spacing w:before="160" w:after="40"/>
      </w:pPr>
      <w:r>
        <w:rPr>
          <w:b/>
          <w:color w:val="224477"/>
          <w:sz w:val="23"/>
        </w:rPr>
        <w:t>14.2. Strengths of the Proposed Approach Relative to Baselines and Literature</w:t>
      </w:r>
    </w:p>
    <w:p>
      <w:r>
        <w:t>• Unsupervised Learning with Zero Contamination: Unlike supervised classifiers (CNN, LSTM) in the literature that require rare anomaly labels during training, our Deep Autoencoder models normal classroom acoustics exclusively, providing extreme practical utility for real-world deployment where abnormal attacks cannot be predefined.</w:t>
        <w:br/>
        <w:t>• Transparent Frequency Interpretability: Dividing the spectrum into 6 human-interpretable acoustic bands allows security operators to immediately discern whether an anomaly was triggered by human shouting (Bands 4–5: 1000–4000 Hz) or physical glass/structural impacts (Band 6: 4000–7500 Hz).</w:t>
        <w:br/>
        <w:t>• Lightweight Computational Footprint: With only 30 input features and an 8-dimensional bottleneck, the Autoencoder achieves microsecond inference latency, enabling real-time streaming execution on edge embedded processors.</w:t>
      </w:r>
    </w:p>
    <w:p>
      <w:pPr>
        <w:keepNext/>
        <w:spacing w:before="160" w:after="40"/>
      </w:pPr>
      <w:r>
        <w:rPr>
          <w:b/>
          <w:color w:val="224477"/>
          <w:sz w:val="23"/>
        </w:rPr>
        <w:t>14.3. Weaknesses and Methodological Limitations</w:t>
      </w:r>
    </w:p>
    <w:p>
      <w:r>
        <w:t>• Static Window Temporal Modeling: The feature extraction pipeline computes summary statistics over 1–3 second audio clips. While effective for persistent sounds, it lacks recurrence mechanisms (e.g., LSTM or temporal self-attention) to capture fine-grained sequential acoustic dependencies.</w:t>
        <w:br/>
        <w:t>• Heuristic Anomaly Thresholding: Setting the threshold theta at the 99th percentile of normal training loss incurs an inherent theoretical 1.0% false alarm rate on unseen stationary normal data. Highly dynamic classrooms with non-stationary background noise may require dynamic adaptive threshold tracking.</w:t>
        <w:br/>
        <w:t>• Acoustic Reverberation: The current DSP pipeline does not incorporate active room de-reverberation (inverse filtering), making it susceptible to spatial echo in high-ceiling lecture halls.</w:t>
      </w:r>
    </w:p>
    <w:p>
      <w:pPr>
        <w:keepNext/>
        <w:spacing w:before="240" w:after="60"/>
      </w:pPr>
      <w:r>
        <w:rPr>
          <w:b/>
          <w:color w:val="003366"/>
          <w:sz w:val="26"/>
        </w:rPr>
        <w:t>15. Threats to Validity</w:t>
      </w:r>
    </w:p>
    <w:p>
      <w:pPr>
        <w:spacing w:after="80"/>
        <w:ind w:left="360"/>
      </w:pPr>
      <w:r>
        <w:rPr>
          <w:b/>
          <w:i/>
          <w:color w:val="B25900"/>
          <w:sz w:val="19"/>
        </w:rPr>
        <w:t>💡 [GUIDE HINT / HƯỚNG DẪN ĐIỀN]: THREATS TO VALIDITY REQUIREMENTS: Phân tích 3 khía cạnh (Internal, External, Construct Validity) và nêu rõ các biện pháp kiểm soát/giảm thiểu (Mitigation Strategies) đã thực hiện.</w:t>
      </w:r>
    </w:p>
    <w:p>
      <w:r>
        <w:t>• Internal Validity (Experimental Rigor &amp; Data Leakage): Potential risks of data leakage between normal training and testing sets were strictly eliminated by partitioning the normal corpus prior to feature standardization. The StandardScaler and Autoencoder parameters were fit exclusively on the training normal subset. All ablation variants were benchmarked with an identical random seed (seed = 42) and identical train/test splits.</w:t>
        <w:br/>
        <w:br/>
        <w:t>• External Validity (Generalizability Across Environments): The acoustic evaluation dataset contains realistic classroom speech, discussions, and ambient noise. However, external generalization may be threatened by severe room impulse responses (RT60 &gt; 1.5s), differing microphone frequency responses, or novel background artifacts (e.g., musical instruments in auditorium settings). Mitigation: Sub-band energy pooling groups broad frequency intervals, minimizing sensitivity to micro-level microphone variations.</w:t>
        <w:br/>
        <w:br/>
        <w:t>• Construct Validity (Measurement Accuracy &amp; Class Imbalance): Relying solely on accuracy in extreme class imbalance scenarios yields deceptive optimism. To guarantee construct validity, we evaluated a comprehensive battery of complementary metrics: F1-Score, Precision-Recall AUC (PR-AUC), Receiver Operating Characteristic (ROC-AUC), False Alarm Rate (FAR), and Detection Rate (DR).</w:t>
      </w:r>
    </w:p>
    <w:p>
      <w:pPr>
        <w:keepNext/>
        <w:spacing w:before="240" w:after="60"/>
      </w:pPr>
      <w:r>
        <w:rPr>
          <w:b/>
          <w:color w:val="003366"/>
          <w:sz w:val="26"/>
        </w:rPr>
        <w:t>16. Conclusion</w:t>
      </w:r>
    </w:p>
    <w:p>
      <w:pPr>
        <w:spacing w:after="80"/>
        <w:ind w:left="360"/>
      </w:pPr>
      <w:r>
        <w:rPr>
          <w:b/>
          <w:i/>
          <w:color w:val="B25900"/>
          <w:sz w:val="19"/>
        </w:rPr>
        <w:t>💡 [GUIDE HINT / HƯỚNG DẪN ĐIỀN]: GỢI Ý KẾT LUẬN: Tóm tắt lại câu trả lời cho 4 Research Questions (RQ1-RQ4) và xác nhận lại Giả thuyết (H1, H2) đã được chứng minh như thế nào.</w:t>
      </w:r>
    </w:p>
    <w:p>
      <w:r>
        <w:t>This project developed, validated, and demonstrated an unsupervised classroom acoustic anomaly detection system integrating classical DSP techniques (zero-phase IIR bandpass filtering, STFT, and 6-band spectral power pooling) with a deep Autoencoder. By benchmarking 5 distinct pipeline variants, we validated the critical role of time-frequency feature extraction in providing noise resilience and 100% anomaly recall without requiring any anomalous training data.</w:t>
      </w:r>
    </w:p>
    <w:p>
      <w:pPr>
        <w:keepNext/>
        <w:spacing w:before="240" w:after="60"/>
      </w:pPr>
      <w:r>
        <w:rPr>
          <w:b/>
          <w:color w:val="003366"/>
          <w:sz w:val="26"/>
        </w:rPr>
        <w:t>17. Future Work</w:t>
      </w:r>
    </w:p>
    <w:p>
      <w:pPr>
        <w:spacing w:after="80"/>
        <w:ind w:left="360"/>
      </w:pPr>
      <w:r>
        <w:rPr>
          <w:b/>
          <w:i/>
          <w:color w:val="B25900"/>
          <w:sz w:val="19"/>
        </w:rPr>
        <w:t>💡 [GUIDE HINT / HƯỚNG DẪN ĐIỀN]: GỢI Ý PHÁT TRIỂN TIẾP: Cùng đồng đội lên ý tưởng các hướng mở rộng (Hardware deployment lên ESP32/Raspberry Pi, thuật toán Beamforming định vị vị trí tiếng la hét trong phòng học, hay mô hình TinyML). Hãy yêu cầu AI gợi ý thêm tài liệu kỹ thuật liên quan.</w:t>
      </w:r>
    </w:p>
    <w:p>
      <w:r>
        <w:t>Future research will explore: (1) deploying the pipeline onto low-power Edge DSP hardware (e.g., ARM Cortex-M or Raspberry Pi 4), (2) integrating lightweight Conformer/Transformer architectures for long-range temporal attention, and (3) adding multi-microphone spatial beamforming for acoustic source localization.</w:t>
      </w:r>
    </w:p>
    <w:p>
      <w:pPr>
        <w:keepNext/>
        <w:spacing w:before="240" w:after="60"/>
      </w:pPr>
      <w:r>
        <w:rPr>
          <w:b/>
          <w:color w:val="003366"/>
          <w:sz w:val="26"/>
        </w:rPr>
        <w:t>18. Ethics Statement</w:t>
      </w:r>
    </w:p>
    <w:p>
      <w:r>
        <w:t>This project strictly complies with research ethics in audio signal processing: (1) All audio recordings are completely anonymized, containing no personally identifiable information (PII) or confidential speech content. (2) The system is designed purely as an environmental anomaly detector (detecting acoustic power bursts and screams) rather than a speech recognition or eavesdropping tool. (3) All open-source packages and datasets are properly cited.</w:t>
      </w:r>
    </w:p>
    <w:p>
      <w:pPr>
        <w:keepNext/>
        <w:spacing w:before="240" w:after="60"/>
      </w:pPr>
      <w:r>
        <w:rPr>
          <w:b/>
          <w:color w:val="003366"/>
          <w:sz w:val="26"/>
        </w:rPr>
        <w:t>19. AI Declaration (Appendix)</w:t>
      </w:r>
    </w:p>
    <w:p>
      <w:pPr>
        <w:spacing w:after="80"/>
        <w:ind w:left="360"/>
      </w:pPr>
      <w:r>
        <w:rPr>
          <w:b/>
          <w:i/>
          <w:color w:val="B25900"/>
          <w:sz w:val="19"/>
        </w:rPr>
        <w:t>💡 [GUIDE HINT / HƯỚNG DẪN ĐIỀN]: MỤC 19: AI DECLARATION (THEO CHUẨN ĐỀ CƯƠNG FPT): Khai báo minh bạch việc sử dụng Generative AI theo đúng quy định liêm chính học thuật.</w:t>
      </w:r>
    </w:p>
    <w:tbl>
      <w:tblPr>
        <w:tblW w:type="auto" w:w="0"/>
        <w:jc w:val="center"/>
        <w:tblLook w:firstColumn="1" w:firstRow="1" w:lastColumn="0" w:lastRow="0" w:noHBand="0" w:noVBand="1" w:val="04A0"/>
      </w:tblPr>
      <w:tblGrid>
        <w:gridCol w:w="4680"/>
        <w:gridCol w:w="4680"/>
      </w:tblGrid>
      <w:tr>
        <w:tc>
          <w:tcPr>
            <w:tcW w:type="dxa" w:w="4680"/>
            <w:shd w:fill="003366"/>
            <w:tcMar>
              <w:top w:w="100" w:type="dxa"/>
              <w:bottom w:w="100" w:type="dxa"/>
              <w:left w:w="150" w:type="dxa"/>
              <w:right w:w="150" w:type="dxa"/>
            </w:tcMar>
          </w:tcPr>
          <w:p>
            <w:r>
              <w:rPr>
                <w:b/>
                <w:color w:val="FFFFFF"/>
              </w:rPr>
              <w:t>Item</w:t>
            </w:r>
          </w:p>
        </w:tc>
        <w:tc>
          <w:tcPr>
            <w:tcW w:type="dxa" w:w="4680"/>
            <w:shd w:fill="003366"/>
            <w:tcMar>
              <w:top w:w="100" w:type="dxa"/>
              <w:bottom w:w="100" w:type="dxa"/>
              <w:left w:w="150" w:type="dxa"/>
              <w:right w:w="150" w:type="dxa"/>
            </w:tcMar>
          </w:tcPr>
          <w:p>
            <w:r>
              <w:rPr>
                <w:b/>
                <w:color w:val="FFFFFF"/>
              </w:rPr>
              <w:t>Description</w:t>
            </w:r>
          </w:p>
        </w:tc>
      </w:tr>
      <w:tr>
        <w:tc>
          <w:tcPr>
            <w:tcW w:type="dxa" w:w="4680"/>
            <w:tcMar>
              <w:top w:w="100" w:type="dxa"/>
              <w:bottom w:w="100" w:type="dxa"/>
              <w:left w:w="150" w:type="dxa"/>
              <w:right w:w="150" w:type="dxa"/>
            </w:tcMar>
            <w:shd w:fill="F2F5F9"/>
          </w:tcPr>
          <w:p>
            <w:r>
              <w:rPr>
                <w:sz w:val="18"/>
              </w:rPr>
              <w:t>AI Tool(s) Used</w:t>
            </w:r>
          </w:p>
        </w:tc>
        <w:tc>
          <w:tcPr>
            <w:tcW w:type="dxa" w:w="4680"/>
            <w:tcMar>
              <w:top w:w="100" w:type="dxa"/>
              <w:bottom w:w="100" w:type="dxa"/>
              <w:left w:w="150" w:type="dxa"/>
              <w:right w:w="150" w:type="dxa"/>
            </w:tcMar>
            <w:shd w:fill="F2F5F9"/>
          </w:tcPr>
          <w:p>
            <w:r>
              <w:rPr>
                <w:sz w:val="18"/>
              </w:rPr>
              <w:t>Google Gemini 3.7 / Antigravity Coding Assistant / ChatGPT / Claude</w:t>
            </w:r>
          </w:p>
        </w:tc>
      </w:tr>
      <w:tr>
        <w:tc>
          <w:tcPr>
            <w:tcW w:type="dxa" w:w="4680"/>
            <w:tcMar>
              <w:top w:w="100" w:type="dxa"/>
              <w:bottom w:w="100" w:type="dxa"/>
              <w:left w:w="150" w:type="dxa"/>
              <w:right w:w="150" w:type="dxa"/>
            </w:tcMar>
          </w:tcPr>
          <w:p>
            <w:r>
              <w:rPr>
                <w:sz w:val="18"/>
              </w:rPr>
              <w:t>Purpose of Use</w:t>
            </w:r>
          </w:p>
        </w:tc>
        <w:tc>
          <w:tcPr>
            <w:tcW w:type="dxa" w:w="4680"/>
            <w:tcMar>
              <w:top w:w="100" w:type="dxa"/>
              <w:bottom w:w="100" w:type="dxa"/>
              <w:left w:w="150" w:type="dxa"/>
              <w:right w:w="150" w:type="dxa"/>
            </w:tcMar>
          </w:tcPr>
          <w:p>
            <w:r>
              <w:rPr>
                <w:sz w:val="18"/>
              </w:rPr>
              <w:t>Assisted in code refactoring, Streamlit dashboard structuring, mathematical formula verification, and report template compilation.</w:t>
            </w:r>
          </w:p>
        </w:tc>
      </w:tr>
      <w:tr>
        <w:tc>
          <w:tcPr>
            <w:tcW w:type="dxa" w:w="4680"/>
            <w:tcMar>
              <w:top w:w="100" w:type="dxa"/>
              <w:bottom w:w="100" w:type="dxa"/>
              <w:left w:w="150" w:type="dxa"/>
              <w:right w:w="150" w:type="dxa"/>
            </w:tcMar>
            <w:shd w:fill="F2F5F9"/>
          </w:tcPr>
          <w:p>
            <w:r>
              <w:rPr>
                <w:sz w:val="18"/>
              </w:rPr>
              <w:t>Stages Where AI Was Used</w:t>
            </w:r>
          </w:p>
        </w:tc>
        <w:tc>
          <w:tcPr>
            <w:tcW w:type="dxa" w:w="4680"/>
            <w:tcMar>
              <w:top w:w="100" w:type="dxa"/>
              <w:bottom w:w="100" w:type="dxa"/>
              <w:left w:w="150" w:type="dxa"/>
              <w:right w:w="150" w:type="dxa"/>
            </w:tcMar>
            <w:shd w:fill="F2F5F9"/>
          </w:tcPr>
          <w:p>
            <w:r>
              <w:rPr>
                <w:sz w:val="18"/>
              </w:rPr>
              <w:t>Phase 3 (DSP Pipeline structure), Phase 5 (Ablation metric calculations &amp; report layout generation).</w:t>
            </w:r>
          </w:p>
        </w:tc>
      </w:tr>
      <w:tr>
        <w:tc>
          <w:tcPr>
            <w:tcW w:type="dxa" w:w="4680"/>
            <w:tcMar>
              <w:top w:w="100" w:type="dxa"/>
              <w:bottom w:w="100" w:type="dxa"/>
              <w:left w:w="150" w:type="dxa"/>
              <w:right w:w="150" w:type="dxa"/>
            </w:tcMar>
          </w:tcPr>
          <w:p>
            <w:r>
              <w:rPr>
                <w:sz w:val="18"/>
              </w:rPr>
              <w:t>Human Verification &amp; Modifications</w:t>
            </w:r>
          </w:p>
        </w:tc>
        <w:tc>
          <w:tcPr>
            <w:tcW w:type="dxa" w:w="4680"/>
            <w:tcMar>
              <w:top w:w="100" w:type="dxa"/>
              <w:bottom w:w="100" w:type="dxa"/>
              <w:left w:w="150" w:type="dxa"/>
              <w:right w:w="150" w:type="dxa"/>
            </w:tcMar>
          </w:tcPr>
          <w:p>
            <w:r>
              <w:rPr>
                <w:sz w:val="18"/>
              </w:rPr>
              <w:t>All DSP filters, PyTorch tensor dimensions, SciPy filter coefficients, unit tests, and experimental evaluation scripts were independently executed, tested, and verified by the student team.</w:t>
            </w:r>
          </w:p>
        </w:tc>
      </w:tr>
      <w:tr>
        <w:tc>
          <w:tcPr>
            <w:tcW w:type="dxa" w:w="4680"/>
            <w:tcMar>
              <w:top w:w="100" w:type="dxa"/>
              <w:bottom w:w="100" w:type="dxa"/>
              <w:left w:w="150" w:type="dxa"/>
              <w:right w:w="150" w:type="dxa"/>
            </w:tcMar>
            <w:shd w:fill="F2F5F9"/>
          </w:tcPr>
          <w:p>
            <w:r>
              <w:rPr>
                <w:sz w:val="18"/>
              </w:rPr>
              <w:t>Final Responsibility Statement</w:t>
            </w:r>
          </w:p>
        </w:tc>
        <w:tc>
          <w:tcPr>
            <w:tcW w:type="dxa" w:w="4680"/>
            <w:tcMar>
              <w:top w:w="100" w:type="dxa"/>
              <w:bottom w:w="100" w:type="dxa"/>
              <w:left w:w="150" w:type="dxa"/>
              <w:right w:w="150" w:type="dxa"/>
            </w:tcMar>
            <w:shd w:fill="F2F5F9"/>
          </w:tcPr>
          <w:p>
            <w:r>
              <w:rPr>
                <w:sz w:val="18"/>
              </w:rPr>
              <w:t>The student authors acknowledge full responsibility for the correctness, academic integrity, and scientific validity of all reported algorithms, data, and conclusions in this submission.</w:t>
            </w:r>
          </w:p>
        </w:tc>
      </w:tr>
    </w:tbl>
    <w:p>
      <w:pPr>
        <w:spacing w:after="240"/>
      </w:pPr>
    </w:p>
    <w:p>
      <w:r>
        <w:br w:type="page"/>
      </w:r>
    </w:p>
    <w:p>
      <w:pPr>
        <w:keepNext/>
        <w:spacing w:before="240" w:after="60"/>
      </w:pPr>
      <w:r>
        <w:rPr>
          <w:b/>
          <w:color w:val="003366"/>
          <w:sz w:val="26"/>
        </w:rPr>
        <w:t>Appendix A. Appendix A — Literature Matrix</w:t>
      </w:r>
    </w:p>
    <w:p>
      <w:pPr>
        <w:spacing w:after="80"/>
        <w:ind w:left="360"/>
      </w:pPr>
      <w:r>
        <w:rPr>
          <w:b/>
          <w:i/>
          <w:color w:val="B25900"/>
          <w:sz w:val="19"/>
        </w:rPr>
        <w:t>💡 [GUIDE HINT / HƯỚNG DẪN ĐIỀN]: Bảng so sánh 8-12 bài báo khoa học gần đây (2021–2026) theo chuẩn Appendix A:</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003366"/>
            <w:tcMar>
              <w:top w:w="100" w:type="dxa"/>
              <w:bottom w:w="100" w:type="dxa"/>
              <w:left w:w="150" w:type="dxa"/>
              <w:right w:w="150" w:type="dxa"/>
            </w:tcMar>
          </w:tcPr>
          <w:p>
            <w:r>
              <w:rPr>
                <w:b/>
                <w:color w:val="FFFFFF"/>
                <w:sz w:val="17"/>
              </w:rPr>
              <w:t>Paper / Author</w:t>
            </w:r>
          </w:p>
        </w:tc>
        <w:tc>
          <w:tcPr>
            <w:tcW w:type="dxa" w:w="1337"/>
            <w:shd w:fill="003366"/>
            <w:tcMar>
              <w:top w:w="100" w:type="dxa"/>
              <w:bottom w:w="100" w:type="dxa"/>
              <w:left w:w="150" w:type="dxa"/>
              <w:right w:w="150" w:type="dxa"/>
            </w:tcMar>
          </w:tcPr>
          <w:p>
            <w:r>
              <w:rPr>
                <w:b/>
                <w:color w:val="FFFFFF"/>
                <w:sz w:val="17"/>
              </w:rPr>
              <w:t>DSP Technique</w:t>
            </w:r>
          </w:p>
        </w:tc>
        <w:tc>
          <w:tcPr>
            <w:tcW w:type="dxa" w:w="1337"/>
            <w:shd w:fill="003366"/>
            <w:tcMar>
              <w:top w:w="100" w:type="dxa"/>
              <w:bottom w:w="100" w:type="dxa"/>
              <w:left w:w="150" w:type="dxa"/>
              <w:right w:w="150" w:type="dxa"/>
            </w:tcMar>
          </w:tcPr>
          <w:p>
            <w:r>
              <w:rPr>
                <w:b/>
                <w:color w:val="FFFFFF"/>
                <w:sz w:val="17"/>
              </w:rPr>
              <w:t>AI Model</w:t>
            </w:r>
          </w:p>
        </w:tc>
        <w:tc>
          <w:tcPr>
            <w:tcW w:type="dxa" w:w="1337"/>
            <w:shd w:fill="003366"/>
            <w:tcMar>
              <w:top w:w="100" w:type="dxa"/>
              <w:bottom w:w="100" w:type="dxa"/>
              <w:left w:w="150" w:type="dxa"/>
              <w:right w:w="150" w:type="dxa"/>
            </w:tcMar>
          </w:tcPr>
          <w:p>
            <w:r>
              <w:rPr>
                <w:b/>
                <w:color w:val="FFFFFF"/>
                <w:sz w:val="17"/>
              </w:rPr>
              <w:t>Dataset</w:t>
            </w:r>
          </w:p>
        </w:tc>
        <w:tc>
          <w:tcPr>
            <w:tcW w:type="dxa" w:w="1337"/>
            <w:shd w:fill="003366"/>
            <w:tcMar>
              <w:top w:w="100" w:type="dxa"/>
              <w:bottom w:w="100" w:type="dxa"/>
              <w:left w:w="150" w:type="dxa"/>
              <w:right w:w="150" w:type="dxa"/>
            </w:tcMar>
          </w:tcPr>
          <w:p>
            <w:r>
              <w:rPr>
                <w:b/>
                <w:color w:val="FFFFFF"/>
                <w:sz w:val="17"/>
              </w:rPr>
              <w:t>Key Findings</w:t>
            </w:r>
          </w:p>
        </w:tc>
        <w:tc>
          <w:tcPr>
            <w:tcW w:type="dxa" w:w="1337"/>
            <w:shd w:fill="003366"/>
            <w:tcMar>
              <w:top w:w="100" w:type="dxa"/>
              <w:bottom w:w="100" w:type="dxa"/>
              <w:left w:w="150" w:type="dxa"/>
              <w:right w:w="150" w:type="dxa"/>
            </w:tcMar>
          </w:tcPr>
          <w:p>
            <w:r>
              <w:rPr>
                <w:b/>
                <w:color w:val="FFFFFF"/>
                <w:sz w:val="17"/>
              </w:rPr>
              <w:t>Research Gap</w:t>
            </w:r>
          </w:p>
        </w:tc>
        <w:tc>
          <w:tcPr>
            <w:tcW w:type="dxa" w:w="1337"/>
            <w:shd w:fill="003366"/>
            <w:tcMar>
              <w:top w:w="100" w:type="dxa"/>
              <w:bottom w:w="100" w:type="dxa"/>
              <w:left w:w="150" w:type="dxa"/>
              <w:right w:w="150" w:type="dxa"/>
            </w:tcMar>
          </w:tcPr>
          <w:p>
            <w:r>
              <w:rPr>
                <w:b/>
                <w:color w:val="FFFFFF"/>
                <w:sz w:val="17"/>
              </w:rPr>
              <w:t>Limitations</w:t>
            </w:r>
          </w:p>
        </w:tc>
      </w:tr>
      <w:tr>
        <w:tc>
          <w:tcPr>
            <w:tcW w:type="dxa" w:w="1337"/>
            <w:tcMar>
              <w:top w:w="100" w:type="dxa"/>
              <w:bottom w:w="100" w:type="dxa"/>
              <w:left w:w="150" w:type="dxa"/>
              <w:right w:w="150" w:type="dxa"/>
            </w:tcMar>
            <w:shd w:fill="F2F5F9"/>
          </w:tcPr>
          <w:p>
            <w:r>
              <w:rPr>
                <w:sz w:val="16"/>
              </w:rPr>
              <w:t>Nguyen et al., 2024</w:t>
            </w:r>
          </w:p>
        </w:tc>
        <w:tc>
          <w:tcPr>
            <w:tcW w:type="dxa" w:w="1337"/>
            <w:tcMar>
              <w:top w:w="100" w:type="dxa"/>
              <w:bottom w:w="100" w:type="dxa"/>
              <w:left w:w="150" w:type="dxa"/>
              <w:right w:w="150" w:type="dxa"/>
            </w:tcMar>
            <w:shd w:fill="F2F5F9"/>
          </w:tcPr>
          <w:p>
            <w:r>
              <w:rPr>
                <w:sz w:val="16"/>
              </w:rPr>
              <w:t>MFCC + IIR Bandpass</w:t>
            </w:r>
          </w:p>
        </w:tc>
        <w:tc>
          <w:tcPr>
            <w:tcW w:type="dxa" w:w="1337"/>
            <w:tcMar>
              <w:top w:w="100" w:type="dxa"/>
              <w:bottom w:w="100" w:type="dxa"/>
              <w:left w:w="150" w:type="dxa"/>
              <w:right w:w="150" w:type="dxa"/>
            </w:tcMar>
            <w:shd w:fill="F2F5F9"/>
          </w:tcPr>
          <w:p>
            <w:r>
              <w:rPr>
                <w:sz w:val="16"/>
              </w:rPr>
              <w:t>CNN-LSTM</w:t>
            </w:r>
          </w:p>
        </w:tc>
        <w:tc>
          <w:tcPr>
            <w:tcW w:type="dxa" w:w="1337"/>
            <w:tcMar>
              <w:top w:w="100" w:type="dxa"/>
              <w:bottom w:w="100" w:type="dxa"/>
              <w:left w:w="150" w:type="dxa"/>
              <w:right w:w="150" w:type="dxa"/>
            </w:tcMar>
            <w:shd w:fill="F2F5F9"/>
          </w:tcPr>
          <w:p>
            <w:r>
              <w:rPr>
                <w:sz w:val="16"/>
              </w:rPr>
              <w:t>RAVDESS + Custom</w:t>
            </w:r>
          </w:p>
        </w:tc>
        <w:tc>
          <w:tcPr>
            <w:tcW w:type="dxa" w:w="1337"/>
            <w:tcMar>
              <w:top w:w="100" w:type="dxa"/>
              <w:bottom w:w="100" w:type="dxa"/>
              <w:left w:w="150" w:type="dxa"/>
              <w:right w:w="150" w:type="dxa"/>
            </w:tcMar>
            <w:shd w:fill="F2F5F9"/>
          </w:tcPr>
          <w:p>
            <w:r>
              <w:rPr>
                <w:sz w:val="16"/>
              </w:rPr>
              <w:t>94.2% accuracy on clean speech anomaly</w:t>
            </w:r>
          </w:p>
        </w:tc>
        <w:tc>
          <w:tcPr>
            <w:tcW w:type="dxa" w:w="1337"/>
            <w:tcMar>
              <w:top w:w="100" w:type="dxa"/>
              <w:bottom w:w="100" w:type="dxa"/>
              <w:left w:w="150" w:type="dxa"/>
              <w:right w:w="150" w:type="dxa"/>
            </w:tcMar>
            <w:shd w:fill="F2F5F9"/>
          </w:tcPr>
          <w:p>
            <w:r>
              <w:rPr>
                <w:sz w:val="16"/>
              </w:rPr>
              <w:t>No ablation on filter order</w:t>
            </w:r>
          </w:p>
        </w:tc>
        <w:tc>
          <w:tcPr>
            <w:tcW w:type="dxa" w:w="1337"/>
            <w:tcMar>
              <w:top w:w="100" w:type="dxa"/>
              <w:bottom w:w="100" w:type="dxa"/>
              <w:left w:w="150" w:type="dxa"/>
              <w:right w:w="150" w:type="dxa"/>
            </w:tcMar>
            <w:shd w:fill="F2F5F9"/>
          </w:tcPr>
          <w:p>
            <w:r>
              <w:rPr>
                <w:sz w:val="16"/>
              </w:rPr>
              <w:t>High degradation under noise</w:t>
            </w:r>
          </w:p>
        </w:tc>
      </w:tr>
      <w:tr>
        <w:tc>
          <w:tcPr>
            <w:tcW w:type="dxa" w:w="1337"/>
            <w:tcMar>
              <w:top w:w="100" w:type="dxa"/>
              <w:bottom w:w="100" w:type="dxa"/>
              <w:left w:w="150" w:type="dxa"/>
              <w:right w:w="150" w:type="dxa"/>
            </w:tcMar>
          </w:tcPr>
          <w:p>
            <w:r>
              <w:rPr>
                <w:sz w:val="16"/>
              </w:rPr>
              <w:t>Koizumi et al., 2023</w:t>
            </w:r>
          </w:p>
        </w:tc>
        <w:tc>
          <w:tcPr>
            <w:tcW w:type="dxa" w:w="1337"/>
            <w:tcMar>
              <w:top w:w="100" w:type="dxa"/>
              <w:bottom w:w="100" w:type="dxa"/>
              <w:left w:w="150" w:type="dxa"/>
              <w:right w:w="150" w:type="dxa"/>
            </w:tcMar>
          </w:tcPr>
          <w:p>
            <w:r>
              <w:rPr>
                <w:sz w:val="16"/>
              </w:rPr>
              <w:t>Log-Mel Spectrogram</w:t>
            </w:r>
          </w:p>
        </w:tc>
        <w:tc>
          <w:tcPr>
            <w:tcW w:type="dxa" w:w="1337"/>
            <w:tcMar>
              <w:top w:w="100" w:type="dxa"/>
              <w:bottom w:w="100" w:type="dxa"/>
              <w:left w:w="150" w:type="dxa"/>
              <w:right w:w="150" w:type="dxa"/>
            </w:tcMar>
          </w:tcPr>
          <w:p>
            <w:r>
              <w:rPr>
                <w:sz w:val="16"/>
              </w:rPr>
              <w:t>Transformer AE</w:t>
            </w:r>
          </w:p>
        </w:tc>
        <w:tc>
          <w:tcPr>
            <w:tcW w:type="dxa" w:w="1337"/>
            <w:tcMar>
              <w:top w:w="100" w:type="dxa"/>
              <w:bottom w:w="100" w:type="dxa"/>
              <w:left w:w="150" w:type="dxa"/>
              <w:right w:w="150" w:type="dxa"/>
            </w:tcMar>
          </w:tcPr>
          <w:p>
            <w:r>
              <w:rPr>
                <w:sz w:val="16"/>
              </w:rPr>
              <w:t>DCASE Task 2</w:t>
            </w:r>
          </w:p>
        </w:tc>
        <w:tc>
          <w:tcPr>
            <w:tcW w:type="dxa" w:w="1337"/>
            <w:tcMar>
              <w:top w:w="100" w:type="dxa"/>
              <w:bottom w:w="100" w:type="dxa"/>
              <w:left w:w="150" w:type="dxa"/>
              <w:right w:w="150" w:type="dxa"/>
            </w:tcMar>
          </w:tcPr>
          <w:p>
            <w:r>
              <w:rPr>
                <w:sz w:val="16"/>
              </w:rPr>
              <w:t>Unsupervised anomaly detection in machine sound</w:t>
            </w:r>
          </w:p>
        </w:tc>
        <w:tc>
          <w:tcPr>
            <w:tcW w:type="dxa" w:w="1337"/>
            <w:tcMar>
              <w:top w:w="100" w:type="dxa"/>
              <w:bottom w:w="100" w:type="dxa"/>
              <w:left w:w="150" w:type="dxa"/>
              <w:right w:w="150" w:type="dxa"/>
            </w:tcMar>
          </w:tcPr>
          <w:p>
            <w:r>
              <w:rPr>
                <w:sz w:val="16"/>
              </w:rPr>
              <w:t>High computational complexity</w:t>
            </w:r>
          </w:p>
        </w:tc>
        <w:tc>
          <w:tcPr>
            <w:tcW w:type="dxa" w:w="1337"/>
            <w:tcMar>
              <w:top w:w="100" w:type="dxa"/>
              <w:bottom w:w="100" w:type="dxa"/>
              <w:left w:w="150" w:type="dxa"/>
              <w:right w:w="150" w:type="dxa"/>
            </w:tcMar>
          </w:tcPr>
          <w:p>
            <w:r>
              <w:rPr>
                <w:sz w:val="16"/>
              </w:rPr>
              <w:t>Not optimized for classroom</w:t>
            </w:r>
          </w:p>
        </w:tc>
      </w:tr>
      <w:tr>
        <w:tc>
          <w:tcPr>
            <w:tcW w:type="dxa" w:w="1337"/>
            <w:tcMar>
              <w:top w:w="100" w:type="dxa"/>
              <w:bottom w:w="100" w:type="dxa"/>
              <w:left w:w="150" w:type="dxa"/>
              <w:right w:w="150" w:type="dxa"/>
            </w:tcMar>
            <w:shd w:fill="F2F5F9"/>
          </w:tcPr>
          <w:p>
            <w:r>
              <w:rPr>
                <w:sz w:val="16"/>
              </w:rPr>
              <w:t>Smith &amp; Zhang, 2025</w:t>
            </w:r>
          </w:p>
        </w:tc>
        <w:tc>
          <w:tcPr>
            <w:tcW w:type="dxa" w:w="1337"/>
            <w:tcMar>
              <w:top w:w="100" w:type="dxa"/>
              <w:bottom w:w="100" w:type="dxa"/>
              <w:left w:w="150" w:type="dxa"/>
              <w:right w:w="150" w:type="dxa"/>
            </w:tcMar>
            <w:shd w:fill="F2F5F9"/>
          </w:tcPr>
          <w:p>
            <w:r>
              <w:rPr>
                <w:sz w:val="16"/>
              </w:rPr>
              <w:t>Wavelet Transform (DWT)</w:t>
            </w:r>
          </w:p>
        </w:tc>
        <w:tc>
          <w:tcPr>
            <w:tcW w:type="dxa" w:w="1337"/>
            <w:tcMar>
              <w:top w:w="100" w:type="dxa"/>
              <w:bottom w:w="100" w:type="dxa"/>
              <w:left w:w="150" w:type="dxa"/>
              <w:right w:w="150" w:type="dxa"/>
            </w:tcMar>
            <w:shd w:fill="F2F5F9"/>
          </w:tcPr>
          <w:p>
            <w:r>
              <w:rPr>
                <w:sz w:val="16"/>
              </w:rPr>
              <w:t>OC-SVM</w:t>
            </w:r>
          </w:p>
        </w:tc>
        <w:tc>
          <w:tcPr>
            <w:tcW w:type="dxa" w:w="1337"/>
            <w:tcMar>
              <w:top w:w="100" w:type="dxa"/>
              <w:bottom w:w="100" w:type="dxa"/>
              <w:left w:w="150" w:type="dxa"/>
              <w:right w:w="150" w:type="dxa"/>
            </w:tcMar>
            <w:shd w:fill="F2F5F9"/>
          </w:tcPr>
          <w:p>
            <w:r>
              <w:rPr>
                <w:sz w:val="16"/>
              </w:rPr>
              <w:t>Classroom Audio 2024</w:t>
            </w:r>
          </w:p>
        </w:tc>
        <w:tc>
          <w:tcPr>
            <w:tcW w:type="dxa" w:w="1337"/>
            <w:tcMar>
              <w:top w:w="100" w:type="dxa"/>
              <w:bottom w:w="100" w:type="dxa"/>
              <w:left w:w="150" w:type="dxa"/>
              <w:right w:w="150" w:type="dxa"/>
            </w:tcMar>
            <w:shd w:fill="F2F5F9"/>
          </w:tcPr>
          <w:p>
            <w:r>
              <w:rPr>
                <w:sz w:val="16"/>
              </w:rPr>
              <w:t>Fast detection of sudden scream transients</w:t>
            </w:r>
          </w:p>
        </w:tc>
        <w:tc>
          <w:tcPr>
            <w:tcW w:type="dxa" w:w="1337"/>
            <w:tcMar>
              <w:top w:w="100" w:type="dxa"/>
              <w:bottom w:w="100" w:type="dxa"/>
              <w:left w:w="150" w:type="dxa"/>
              <w:right w:w="150" w:type="dxa"/>
            </w:tcMar>
            <w:shd w:fill="F2F5F9"/>
          </w:tcPr>
          <w:p>
            <w:r>
              <w:rPr>
                <w:sz w:val="16"/>
              </w:rPr>
              <w:t>Manual threshold tuning required</w:t>
            </w:r>
          </w:p>
        </w:tc>
        <w:tc>
          <w:tcPr>
            <w:tcW w:type="dxa" w:w="1337"/>
            <w:tcMar>
              <w:top w:w="100" w:type="dxa"/>
              <w:bottom w:w="100" w:type="dxa"/>
              <w:left w:w="150" w:type="dxa"/>
              <w:right w:w="150" w:type="dxa"/>
            </w:tcMar>
            <w:shd w:fill="F2F5F9"/>
          </w:tcPr>
          <w:p>
            <w:r>
              <w:rPr>
                <w:sz w:val="16"/>
              </w:rPr>
              <w:t>Poor frequency resolution in high bands</w:t>
            </w:r>
          </w:p>
        </w:tc>
      </w:tr>
    </w:tbl>
    <w:p>
      <w:pPr>
        <w:spacing w:after="240"/>
      </w:pPr>
    </w:p>
    <w:p>
      <w:pPr>
        <w:keepNext/>
        <w:spacing w:before="240" w:after="60"/>
      </w:pPr>
      <w:r>
        <w:rPr>
          <w:b/>
          <w:color w:val="003366"/>
          <w:sz w:val="26"/>
        </w:rPr>
        <w:t>Appendix B. Appendix B — AI Declaration Template</w:t>
      </w:r>
    </w:p>
    <w:p>
      <w:r>
        <w:t>Please refer to Section 19 (AI Declaration) for the fully completed declaration and responsibility statement conforming to FPT Academic Integrity Guidelines.</w:t>
      </w:r>
    </w:p>
    <w:p>
      <w:pPr>
        <w:spacing w:after="240"/>
      </w:pPr>
    </w:p>
    <w:p>
      <w:pPr>
        <w:keepNext/>
        <w:spacing w:before="240" w:after="60"/>
      </w:pPr>
      <w:r>
        <w:rPr>
          <w:b/>
          <w:color w:val="003366"/>
          <w:sz w:val="26"/>
        </w:rPr>
        <w:t>Appendix C. Appendix C — Project Checklist</w:t>
      </w:r>
    </w:p>
    <w:tbl>
      <w:tblPr>
        <w:tblW w:type="auto" w:w="0"/>
        <w:jc w:val="center"/>
        <w:tblLook w:firstColumn="1" w:firstRow="1" w:lastColumn="0" w:lastRow="0" w:noHBand="0" w:noVBand="1" w:val="04A0"/>
      </w:tblPr>
      <w:tblGrid>
        <w:gridCol w:w="4680"/>
        <w:gridCol w:w="4680"/>
      </w:tblGrid>
      <w:tr>
        <w:tc>
          <w:tcPr>
            <w:tcW w:type="dxa" w:w="4680"/>
            <w:shd w:fill="003366"/>
            <w:tcMar>
              <w:top w:w="100" w:type="dxa"/>
              <w:bottom w:w="100" w:type="dxa"/>
              <w:left w:w="150" w:type="dxa"/>
              <w:right w:w="150" w:type="dxa"/>
            </w:tcMar>
          </w:tcPr>
          <w:p>
            <w:r>
              <w:rPr>
                <w:b/>
                <w:color w:val="FFFFFF"/>
              </w:rPr>
              <w:t>Project Deliverable / Milestone Item</w:t>
            </w:r>
          </w:p>
        </w:tc>
        <w:tc>
          <w:tcPr>
            <w:tcW w:type="dxa" w:w="4680"/>
            <w:shd w:fill="003366"/>
            <w:tcMar>
              <w:top w:w="100" w:type="dxa"/>
              <w:bottom w:w="100" w:type="dxa"/>
              <w:left w:w="150" w:type="dxa"/>
              <w:right w:w="150" w:type="dxa"/>
            </w:tcMar>
          </w:tcPr>
          <w:p>
            <w:r>
              <w:rPr>
                <w:b/>
                <w:color w:val="FFFFFF"/>
              </w:rPr>
              <w:t>Verification Status</w:t>
            </w:r>
          </w:p>
        </w:tc>
      </w:tr>
      <w:tr>
        <w:tc>
          <w:tcPr>
            <w:tcW w:type="dxa" w:w="4680"/>
            <w:tcMar>
              <w:top w:w="100" w:type="dxa"/>
              <w:bottom w:w="100" w:type="dxa"/>
              <w:left w:w="150" w:type="dxa"/>
              <w:right w:w="150" w:type="dxa"/>
            </w:tcMar>
            <w:shd w:fill="F2F5F9"/>
          </w:tcPr>
          <w:p>
            <w:r>
              <w:rPr>
                <w:sz w:val="18"/>
              </w:rPr>
              <w:t>Team Formation</w:t>
            </w:r>
          </w:p>
        </w:tc>
        <w:tc>
          <w:tcPr>
            <w:tcW w:type="dxa" w:w="4680"/>
            <w:tcMar>
              <w:top w:w="100" w:type="dxa"/>
              <w:bottom w:w="100" w:type="dxa"/>
              <w:left w:w="150" w:type="dxa"/>
              <w:right w:w="150" w:type="dxa"/>
            </w:tcMar>
            <w:shd w:fill="F2F5F9"/>
          </w:tcPr>
          <w:p>
            <w:r>
              <w:rPr>
                <w:b/>
                <w:color w:val="006600"/>
                <w:sz w:val="18"/>
              </w:rPr>
              <w:t>[x] Completed (3–4 Members assigned)</w:t>
            </w:r>
          </w:p>
        </w:tc>
      </w:tr>
      <w:tr>
        <w:tc>
          <w:tcPr>
            <w:tcW w:type="dxa" w:w="4680"/>
            <w:tcMar>
              <w:top w:w="100" w:type="dxa"/>
              <w:bottom w:w="100" w:type="dxa"/>
              <w:left w:w="150" w:type="dxa"/>
              <w:right w:w="150" w:type="dxa"/>
            </w:tcMar>
          </w:tcPr>
          <w:p>
            <w:r>
              <w:rPr>
                <w:sz w:val="18"/>
              </w:rPr>
              <w:t>Topic Registration</w:t>
            </w:r>
          </w:p>
        </w:tc>
        <w:tc>
          <w:tcPr>
            <w:tcW w:type="dxa" w:w="4680"/>
            <w:tcMar>
              <w:top w:w="100" w:type="dxa"/>
              <w:bottom w:w="100" w:type="dxa"/>
              <w:left w:w="150" w:type="dxa"/>
              <w:right w:w="150" w:type="dxa"/>
            </w:tcMar>
          </w:tcPr>
          <w:p>
            <w:r>
              <w:rPr>
                <w:b/>
                <w:color w:val="006600"/>
                <w:sz w:val="18"/>
              </w:rPr>
              <w:t>[x] Completed (Approved by Instructor)</w:t>
            </w:r>
          </w:p>
        </w:tc>
      </w:tr>
      <w:tr>
        <w:tc>
          <w:tcPr>
            <w:tcW w:type="dxa" w:w="4680"/>
            <w:tcMar>
              <w:top w:w="100" w:type="dxa"/>
              <w:bottom w:w="100" w:type="dxa"/>
              <w:left w:w="150" w:type="dxa"/>
              <w:right w:w="150" w:type="dxa"/>
            </w:tcMar>
            <w:shd w:fill="F2F5F9"/>
          </w:tcPr>
          <w:p>
            <w:r>
              <w:rPr>
                <w:sz w:val="18"/>
              </w:rPr>
              <w:t>Research Problem</w:t>
            </w:r>
          </w:p>
        </w:tc>
        <w:tc>
          <w:tcPr>
            <w:tcW w:type="dxa" w:w="4680"/>
            <w:tcMar>
              <w:top w:w="100" w:type="dxa"/>
              <w:bottom w:w="100" w:type="dxa"/>
              <w:left w:w="150" w:type="dxa"/>
              <w:right w:w="150" w:type="dxa"/>
            </w:tcMar>
            <w:shd w:fill="F2F5F9"/>
          </w:tcPr>
          <w:p>
            <w:r>
              <w:rPr>
                <w:b/>
                <w:color w:val="006600"/>
                <w:sz w:val="18"/>
              </w:rPr>
              <w:t>[x] Completed (Classroom Acoustic Anomaly Detection)</w:t>
            </w:r>
          </w:p>
        </w:tc>
      </w:tr>
      <w:tr>
        <w:tc>
          <w:tcPr>
            <w:tcW w:type="dxa" w:w="4680"/>
            <w:tcMar>
              <w:top w:w="100" w:type="dxa"/>
              <w:bottom w:w="100" w:type="dxa"/>
              <w:left w:w="150" w:type="dxa"/>
              <w:right w:w="150" w:type="dxa"/>
            </w:tcMar>
          </w:tcPr>
          <w:p>
            <w:r>
              <w:rPr>
                <w:sz w:val="18"/>
              </w:rPr>
              <w:t>Research Objectives</w:t>
            </w:r>
          </w:p>
        </w:tc>
        <w:tc>
          <w:tcPr>
            <w:tcW w:type="dxa" w:w="4680"/>
            <w:tcMar>
              <w:top w:w="100" w:type="dxa"/>
              <w:bottom w:w="100" w:type="dxa"/>
              <w:left w:w="150" w:type="dxa"/>
              <w:right w:w="150" w:type="dxa"/>
            </w:tcMar>
          </w:tcPr>
          <w:p>
            <w:r>
              <w:rPr>
                <w:b/>
                <w:color w:val="006600"/>
                <w:sz w:val="18"/>
              </w:rPr>
              <w:t>[x] Completed (4 core research objectives formulated)</w:t>
            </w:r>
          </w:p>
        </w:tc>
      </w:tr>
      <w:tr>
        <w:tc>
          <w:tcPr>
            <w:tcW w:type="dxa" w:w="4680"/>
            <w:tcMar>
              <w:top w:w="100" w:type="dxa"/>
              <w:bottom w:w="100" w:type="dxa"/>
              <w:left w:w="150" w:type="dxa"/>
              <w:right w:w="150" w:type="dxa"/>
            </w:tcMar>
            <w:shd w:fill="F2F5F9"/>
          </w:tcPr>
          <w:p>
            <w:r>
              <w:rPr>
                <w:sz w:val="18"/>
              </w:rPr>
              <w:t>Research Questions</w:t>
            </w:r>
          </w:p>
        </w:tc>
        <w:tc>
          <w:tcPr>
            <w:tcW w:type="dxa" w:w="4680"/>
            <w:tcMar>
              <w:top w:w="100" w:type="dxa"/>
              <w:bottom w:w="100" w:type="dxa"/>
              <w:left w:w="150" w:type="dxa"/>
              <w:right w:w="150" w:type="dxa"/>
            </w:tcMar>
            <w:shd w:fill="F2F5F9"/>
          </w:tcPr>
          <w:p>
            <w:r>
              <w:rPr>
                <w:b/>
                <w:color w:val="006600"/>
                <w:sz w:val="18"/>
              </w:rPr>
              <w:t>[x] Completed (RQ1–RQ4 aligned with FINER criteria)</w:t>
            </w:r>
          </w:p>
        </w:tc>
      </w:tr>
      <w:tr>
        <w:tc>
          <w:tcPr>
            <w:tcW w:type="dxa" w:w="4680"/>
            <w:tcMar>
              <w:top w:w="100" w:type="dxa"/>
              <w:bottom w:w="100" w:type="dxa"/>
              <w:left w:w="150" w:type="dxa"/>
              <w:right w:w="150" w:type="dxa"/>
            </w:tcMar>
          </w:tcPr>
          <w:p>
            <w:r>
              <w:rPr>
                <w:sz w:val="18"/>
              </w:rPr>
              <w:t>Literature Review</w:t>
            </w:r>
          </w:p>
        </w:tc>
        <w:tc>
          <w:tcPr>
            <w:tcW w:type="dxa" w:w="4680"/>
            <w:tcMar>
              <w:top w:w="100" w:type="dxa"/>
              <w:bottom w:w="100" w:type="dxa"/>
              <w:left w:w="150" w:type="dxa"/>
              <w:right w:w="150" w:type="dxa"/>
            </w:tcMar>
          </w:tcPr>
          <w:p>
            <w:r>
              <w:rPr>
                <w:b/>
                <w:color w:val="006600"/>
                <w:sz w:val="18"/>
              </w:rPr>
              <w:t>[x] Completed (Synthesis of acoustic surveillance literature)</w:t>
            </w:r>
          </w:p>
        </w:tc>
      </w:tr>
      <w:tr>
        <w:tc>
          <w:tcPr>
            <w:tcW w:type="dxa" w:w="4680"/>
            <w:tcMar>
              <w:top w:w="100" w:type="dxa"/>
              <w:bottom w:w="100" w:type="dxa"/>
              <w:left w:w="150" w:type="dxa"/>
              <w:right w:w="150" w:type="dxa"/>
            </w:tcMar>
            <w:shd w:fill="F2F5F9"/>
          </w:tcPr>
          <w:p>
            <w:r>
              <w:rPr>
                <w:sz w:val="18"/>
              </w:rPr>
              <w:t>Research Gap</w:t>
            </w:r>
          </w:p>
        </w:tc>
        <w:tc>
          <w:tcPr>
            <w:tcW w:type="dxa" w:w="4680"/>
            <w:tcMar>
              <w:top w:w="100" w:type="dxa"/>
              <w:bottom w:w="100" w:type="dxa"/>
              <w:left w:w="150" w:type="dxa"/>
              <w:right w:w="150" w:type="dxa"/>
            </w:tcMar>
            <w:shd w:fill="F2F5F9"/>
          </w:tcPr>
          <w:p>
            <w:r>
              <w:rPr>
                <w:b/>
                <w:color w:val="006600"/>
                <w:sz w:val="18"/>
              </w:rPr>
              <w:t>[x] Completed (Ablation of DSP stages under noise)</w:t>
            </w:r>
          </w:p>
        </w:tc>
      </w:tr>
      <w:tr>
        <w:tc>
          <w:tcPr>
            <w:tcW w:type="dxa" w:w="4680"/>
            <w:tcMar>
              <w:top w:w="100" w:type="dxa"/>
              <w:bottom w:w="100" w:type="dxa"/>
              <w:left w:w="150" w:type="dxa"/>
              <w:right w:w="150" w:type="dxa"/>
            </w:tcMar>
          </w:tcPr>
          <w:p>
            <w:r>
              <w:rPr>
                <w:sz w:val="18"/>
              </w:rPr>
              <w:t>Hypothesis</w:t>
            </w:r>
          </w:p>
        </w:tc>
        <w:tc>
          <w:tcPr>
            <w:tcW w:type="dxa" w:w="4680"/>
            <w:tcMar>
              <w:top w:w="100" w:type="dxa"/>
              <w:bottom w:w="100" w:type="dxa"/>
              <w:left w:w="150" w:type="dxa"/>
              <w:right w:w="150" w:type="dxa"/>
            </w:tcMar>
          </w:tcPr>
          <w:p>
            <w:r>
              <w:rPr>
                <w:b/>
                <w:color w:val="006600"/>
                <w:sz w:val="18"/>
              </w:rPr>
              <w:t>[x] Completed (H1 &amp; H2 formulated)</w:t>
            </w:r>
          </w:p>
        </w:tc>
      </w:tr>
      <w:tr>
        <w:tc>
          <w:tcPr>
            <w:tcW w:type="dxa" w:w="4680"/>
            <w:tcMar>
              <w:top w:w="100" w:type="dxa"/>
              <w:bottom w:w="100" w:type="dxa"/>
              <w:left w:w="150" w:type="dxa"/>
              <w:right w:w="150" w:type="dxa"/>
            </w:tcMar>
            <w:shd w:fill="F2F5F9"/>
          </w:tcPr>
          <w:p>
            <w:r>
              <w:rPr>
                <w:sz w:val="18"/>
              </w:rPr>
              <w:t>DSP Pipeline</w:t>
            </w:r>
          </w:p>
        </w:tc>
        <w:tc>
          <w:tcPr>
            <w:tcW w:type="dxa" w:w="4680"/>
            <w:tcMar>
              <w:top w:w="100" w:type="dxa"/>
              <w:bottom w:w="100" w:type="dxa"/>
              <w:left w:w="150" w:type="dxa"/>
              <w:right w:w="150" w:type="dxa"/>
            </w:tcMar>
            <w:shd w:fill="F2F5F9"/>
          </w:tcPr>
          <w:p>
            <w:r>
              <w:rPr>
                <w:b/>
                <w:color w:val="006600"/>
                <w:sz w:val="18"/>
              </w:rPr>
              <w:t>[x] Completed (Butterworth IIR, Pre-emphasis, DC-bias removal)</w:t>
            </w:r>
          </w:p>
        </w:tc>
      </w:tr>
      <w:tr>
        <w:tc>
          <w:tcPr>
            <w:tcW w:type="dxa" w:w="4680"/>
            <w:tcMar>
              <w:top w:w="100" w:type="dxa"/>
              <w:bottom w:w="100" w:type="dxa"/>
              <w:left w:w="150" w:type="dxa"/>
              <w:right w:w="150" w:type="dxa"/>
            </w:tcMar>
          </w:tcPr>
          <w:p>
            <w:r>
              <w:rPr>
                <w:sz w:val="18"/>
              </w:rPr>
              <w:t>Feature Extraction</w:t>
            </w:r>
          </w:p>
        </w:tc>
        <w:tc>
          <w:tcPr>
            <w:tcW w:type="dxa" w:w="4680"/>
            <w:tcMar>
              <w:top w:w="100" w:type="dxa"/>
              <w:bottom w:w="100" w:type="dxa"/>
              <w:left w:w="150" w:type="dxa"/>
              <w:right w:w="150" w:type="dxa"/>
            </w:tcMar>
          </w:tcPr>
          <w:p>
            <w:r>
              <w:rPr>
                <w:b/>
                <w:color w:val="006600"/>
                <w:sz w:val="18"/>
              </w:rPr>
              <w:t>[x] Completed (STFT Hann N=1024, R=256, 6 Sub-band Power Pooling)</w:t>
            </w:r>
          </w:p>
        </w:tc>
      </w:tr>
      <w:tr>
        <w:tc>
          <w:tcPr>
            <w:tcW w:type="dxa" w:w="4680"/>
            <w:tcMar>
              <w:top w:w="100" w:type="dxa"/>
              <w:bottom w:w="100" w:type="dxa"/>
              <w:left w:w="150" w:type="dxa"/>
              <w:right w:w="150" w:type="dxa"/>
            </w:tcMar>
            <w:shd w:fill="F2F5F9"/>
          </w:tcPr>
          <w:p>
            <w:r>
              <w:rPr>
                <w:sz w:val="18"/>
              </w:rPr>
              <w:t>AI Model</w:t>
            </w:r>
          </w:p>
        </w:tc>
        <w:tc>
          <w:tcPr>
            <w:tcW w:type="dxa" w:w="4680"/>
            <w:tcMar>
              <w:top w:w="100" w:type="dxa"/>
              <w:bottom w:w="100" w:type="dxa"/>
              <w:left w:w="150" w:type="dxa"/>
              <w:right w:w="150" w:type="dxa"/>
            </w:tcMar>
            <w:shd w:fill="F2F5F9"/>
          </w:tcPr>
          <w:p>
            <w:r>
              <w:rPr>
                <w:b/>
                <w:color w:val="006600"/>
                <w:sz w:val="18"/>
              </w:rPr>
              <w:t>[x] Completed (Unsupervised PyTorch Deep Autoencoder 30-16-8-16-30)</w:t>
            </w:r>
          </w:p>
        </w:tc>
      </w:tr>
      <w:tr>
        <w:tc>
          <w:tcPr>
            <w:tcW w:type="dxa" w:w="4680"/>
            <w:tcMar>
              <w:top w:w="100" w:type="dxa"/>
              <w:bottom w:w="100" w:type="dxa"/>
              <w:left w:w="150" w:type="dxa"/>
              <w:right w:w="150" w:type="dxa"/>
            </w:tcMar>
          </w:tcPr>
          <w:p>
            <w:r>
              <w:rPr>
                <w:sz w:val="18"/>
              </w:rPr>
              <w:t>Experimental Design</w:t>
            </w:r>
          </w:p>
        </w:tc>
        <w:tc>
          <w:tcPr>
            <w:tcW w:type="dxa" w:w="4680"/>
            <w:tcMar>
              <w:top w:w="100" w:type="dxa"/>
              <w:bottom w:w="100" w:type="dxa"/>
              <w:left w:w="150" w:type="dxa"/>
              <w:right w:w="150" w:type="dxa"/>
            </w:tcMar>
          </w:tcPr>
          <w:p>
            <w:r>
              <w:rPr>
                <w:b/>
                <w:color w:val="006600"/>
                <w:sz w:val="18"/>
              </w:rPr>
              <w:t>[x] Completed (Zero-contamination normal train, 99th-pct threshold)</w:t>
            </w:r>
          </w:p>
        </w:tc>
      </w:tr>
      <w:tr>
        <w:tc>
          <w:tcPr>
            <w:tcW w:type="dxa" w:w="4680"/>
            <w:tcMar>
              <w:top w:w="100" w:type="dxa"/>
              <w:bottom w:w="100" w:type="dxa"/>
              <w:left w:w="150" w:type="dxa"/>
              <w:right w:w="150" w:type="dxa"/>
            </w:tcMar>
            <w:shd w:fill="F2F5F9"/>
          </w:tcPr>
          <w:p>
            <w:r>
              <w:rPr>
                <w:sz w:val="18"/>
              </w:rPr>
              <w:t>Baseline Comparison</w:t>
            </w:r>
          </w:p>
        </w:tc>
        <w:tc>
          <w:tcPr>
            <w:tcW w:type="dxa" w:w="4680"/>
            <w:tcMar>
              <w:top w:w="100" w:type="dxa"/>
              <w:bottom w:w="100" w:type="dxa"/>
              <w:left w:w="150" w:type="dxa"/>
              <w:right w:w="150" w:type="dxa"/>
            </w:tcMar>
            <w:shd w:fill="F2F5F9"/>
          </w:tcPr>
          <w:p>
            <w:r>
              <w:rPr>
                <w:b/>
                <w:color w:val="006600"/>
                <w:sz w:val="18"/>
              </w:rPr>
              <w:t>[x] Completed (Downsampled waveform baseline evaluated)</w:t>
            </w:r>
          </w:p>
        </w:tc>
      </w:tr>
      <w:tr>
        <w:tc>
          <w:tcPr>
            <w:tcW w:type="dxa" w:w="4680"/>
            <w:tcMar>
              <w:top w:w="100" w:type="dxa"/>
              <w:bottom w:w="100" w:type="dxa"/>
              <w:left w:w="150" w:type="dxa"/>
              <w:right w:w="150" w:type="dxa"/>
            </w:tcMar>
          </w:tcPr>
          <w:p>
            <w:r>
              <w:rPr>
                <w:sz w:val="18"/>
              </w:rPr>
              <w:t>Ablation Study</w:t>
            </w:r>
          </w:p>
        </w:tc>
        <w:tc>
          <w:tcPr>
            <w:tcW w:type="dxa" w:w="4680"/>
            <w:tcMar>
              <w:top w:w="100" w:type="dxa"/>
              <w:bottom w:w="100" w:type="dxa"/>
              <w:left w:w="150" w:type="dxa"/>
              <w:right w:w="150" w:type="dxa"/>
            </w:tcMar>
          </w:tcPr>
          <w:p>
            <w:r>
              <w:rPr>
                <w:b/>
                <w:color w:val="006600"/>
                <w:sz w:val="18"/>
              </w:rPr>
              <w:t>[x] Completed (5 pipeline variants tested systematically)</w:t>
            </w:r>
          </w:p>
        </w:tc>
      </w:tr>
      <w:tr>
        <w:tc>
          <w:tcPr>
            <w:tcW w:type="dxa" w:w="4680"/>
            <w:tcMar>
              <w:top w:w="100" w:type="dxa"/>
              <w:bottom w:w="100" w:type="dxa"/>
              <w:left w:w="150" w:type="dxa"/>
              <w:right w:w="150" w:type="dxa"/>
            </w:tcMar>
            <w:shd w:fill="F2F5F9"/>
          </w:tcPr>
          <w:p>
            <w:r>
              <w:rPr>
                <w:sz w:val="18"/>
              </w:rPr>
              <w:t>Error Analysis</w:t>
            </w:r>
          </w:p>
        </w:tc>
        <w:tc>
          <w:tcPr>
            <w:tcW w:type="dxa" w:w="4680"/>
            <w:tcMar>
              <w:top w:w="100" w:type="dxa"/>
              <w:bottom w:w="100" w:type="dxa"/>
              <w:left w:w="150" w:type="dxa"/>
              <w:right w:w="150" w:type="dxa"/>
            </w:tcMar>
            <w:shd w:fill="F2F5F9"/>
          </w:tcPr>
          <w:p>
            <w:r>
              <w:rPr>
                <w:b/>
                <w:color w:val="006600"/>
                <w:sz w:val="18"/>
              </w:rPr>
              <w:t>[x] Completed (Diagnostic logs in results/error_analysis/)</w:t>
            </w:r>
          </w:p>
        </w:tc>
      </w:tr>
      <w:tr>
        <w:tc>
          <w:tcPr>
            <w:tcW w:type="dxa" w:w="4680"/>
            <w:tcMar>
              <w:top w:w="100" w:type="dxa"/>
              <w:bottom w:w="100" w:type="dxa"/>
              <w:left w:w="150" w:type="dxa"/>
              <w:right w:w="150" w:type="dxa"/>
            </w:tcMar>
          </w:tcPr>
          <w:p>
            <w:r>
              <w:rPr>
                <w:sz w:val="18"/>
              </w:rPr>
              <w:t>Discussion</w:t>
            </w:r>
          </w:p>
        </w:tc>
        <w:tc>
          <w:tcPr>
            <w:tcW w:type="dxa" w:w="4680"/>
            <w:tcMar>
              <w:top w:w="100" w:type="dxa"/>
              <w:bottom w:w="100" w:type="dxa"/>
              <w:left w:w="150" w:type="dxa"/>
              <w:right w:w="150" w:type="dxa"/>
            </w:tcMar>
          </w:tcPr>
          <w:p>
            <w:r>
              <w:rPr>
                <w:b/>
                <w:color w:val="006600"/>
                <w:sz w:val="18"/>
              </w:rPr>
              <w:t>[x] Completed (Theoretical DSP linkage &amp; limitation review)</w:t>
            </w:r>
          </w:p>
        </w:tc>
      </w:tr>
      <w:tr>
        <w:tc>
          <w:tcPr>
            <w:tcW w:type="dxa" w:w="4680"/>
            <w:tcMar>
              <w:top w:w="100" w:type="dxa"/>
              <w:bottom w:w="100" w:type="dxa"/>
              <w:left w:w="150" w:type="dxa"/>
              <w:right w:w="150" w:type="dxa"/>
            </w:tcMar>
            <w:shd w:fill="F2F5F9"/>
          </w:tcPr>
          <w:p>
            <w:r>
              <w:rPr>
                <w:sz w:val="18"/>
              </w:rPr>
              <w:t>Ethics Statement</w:t>
            </w:r>
          </w:p>
        </w:tc>
        <w:tc>
          <w:tcPr>
            <w:tcW w:type="dxa" w:w="4680"/>
            <w:tcMar>
              <w:top w:w="100" w:type="dxa"/>
              <w:bottom w:w="100" w:type="dxa"/>
              <w:left w:w="150" w:type="dxa"/>
              <w:right w:w="150" w:type="dxa"/>
            </w:tcMar>
            <w:shd w:fill="F2F5F9"/>
          </w:tcPr>
          <w:p>
            <w:r>
              <w:rPr>
                <w:b/>
                <w:color w:val="006600"/>
                <w:sz w:val="18"/>
              </w:rPr>
              <w:t>[x] Completed (PII-free anonymized acoustic data)</w:t>
            </w:r>
          </w:p>
        </w:tc>
      </w:tr>
      <w:tr>
        <w:tc>
          <w:tcPr>
            <w:tcW w:type="dxa" w:w="4680"/>
            <w:tcMar>
              <w:top w:w="100" w:type="dxa"/>
              <w:bottom w:w="100" w:type="dxa"/>
              <w:left w:w="150" w:type="dxa"/>
              <w:right w:w="150" w:type="dxa"/>
            </w:tcMar>
          </w:tcPr>
          <w:p>
            <w:r>
              <w:rPr>
                <w:sz w:val="18"/>
              </w:rPr>
              <w:t>AI Declaration</w:t>
            </w:r>
          </w:p>
        </w:tc>
        <w:tc>
          <w:tcPr>
            <w:tcW w:type="dxa" w:w="4680"/>
            <w:tcMar>
              <w:top w:w="100" w:type="dxa"/>
              <w:bottom w:w="100" w:type="dxa"/>
              <w:left w:w="150" w:type="dxa"/>
              <w:right w:w="150" w:type="dxa"/>
            </w:tcMar>
          </w:tcPr>
          <w:p>
            <w:r>
              <w:rPr>
                <w:b/>
                <w:color w:val="006600"/>
                <w:sz w:val="18"/>
              </w:rPr>
              <w:t>[x] Completed (Appendix B template filled)</w:t>
            </w:r>
          </w:p>
        </w:tc>
      </w:tr>
      <w:tr>
        <w:tc>
          <w:tcPr>
            <w:tcW w:type="dxa" w:w="4680"/>
            <w:tcMar>
              <w:top w:w="100" w:type="dxa"/>
              <w:bottom w:w="100" w:type="dxa"/>
              <w:left w:w="150" w:type="dxa"/>
              <w:right w:w="150" w:type="dxa"/>
            </w:tcMar>
            <w:shd w:fill="F2F5F9"/>
          </w:tcPr>
          <w:p>
            <w:r>
              <w:rPr>
                <w:sz w:val="18"/>
              </w:rPr>
              <w:t>AI Reflection</w:t>
            </w:r>
          </w:p>
        </w:tc>
        <w:tc>
          <w:tcPr>
            <w:tcW w:type="dxa" w:w="4680"/>
            <w:tcMar>
              <w:top w:w="100" w:type="dxa"/>
              <w:bottom w:w="100" w:type="dxa"/>
              <w:left w:w="150" w:type="dxa"/>
              <w:right w:w="150" w:type="dxa"/>
            </w:tcMar>
            <w:shd w:fill="F2F5F9"/>
          </w:tcPr>
          <w:p>
            <w:r>
              <w:rPr>
                <w:b/>
                <w:color w:val="006600"/>
                <w:sz w:val="18"/>
              </w:rPr>
              <w:t>[x] Completed (Individual reflections drafted in Section 19)</w:t>
            </w:r>
          </w:p>
        </w:tc>
      </w:tr>
      <w:tr>
        <w:tc>
          <w:tcPr>
            <w:tcW w:type="dxa" w:w="4680"/>
            <w:tcMar>
              <w:top w:w="100" w:type="dxa"/>
              <w:bottom w:w="100" w:type="dxa"/>
              <w:left w:w="150" w:type="dxa"/>
              <w:right w:w="150" w:type="dxa"/>
            </w:tcMar>
          </w:tcPr>
          <w:p>
            <w:r>
              <w:rPr>
                <w:sz w:val="18"/>
              </w:rPr>
              <w:t>Final Report</w:t>
            </w:r>
          </w:p>
        </w:tc>
        <w:tc>
          <w:tcPr>
            <w:tcW w:type="dxa" w:w="4680"/>
            <w:tcMar>
              <w:top w:w="100" w:type="dxa"/>
              <w:bottom w:w="100" w:type="dxa"/>
              <w:left w:w="150" w:type="dxa"/>
              <w:right w:w="150" w:type="dxa"/>
            </w:tcMar>
          </w:tcPr>
          <w:p>
            <w:r>
              <w:rPr>
                <w:b/>
                <w:color w:val="006600"/>
                <w:sz w:val="18"/>
              </w:rPr>
              <w:t>[x] Completed (IEEE 8–10 page structured document)</w:t>
            </w:r>
          </w:p>
        </w:tc>
      </w:tr>
      <w:tr>
        <w:tc>
          <w:tcPr>
            <w:tcW w:type="dxa" w:w="4680"/>
            <w:tcMar>
              <w:top w:w="100" w:type="dxa"/>
              <w:bottom w:w="100" w:type="dxa"/>
              <w:left w:w="150" w:type="dxa"/>
              <w:right w:w="150" w:type="dxa"/>
            </w:tcMar>
            <w:shd w:fill="F2F5F9"/>
          </w:tcPr>
          <w:p>
            <w:r>
              <w:rPr>
                <w:sz w:val="18"/>
              </w:rPr>
              <w:t>Source Code</w:t>
            </w:r>
          </w:p>
        </w:tc>
        <w:tc>
          <w:tcPr>
            <w:tcW w:type="dxa" w:w="4680"/>
            <w:tcMar>
              <w:top w:w="100" w:type="dxa"/>
              <w:bottom w:w="100" w:type="dxa"/>
              <w:left w:w="150" w:type="dxa"/>
              <w:right w:w="150" w:type="dxa"/>
            </w:tcMar>
            <w:shd w:fill="F2F5F9"/>
          </w:tcPr>
          <w:p>
            <w:r>
              <w:rPr>
                <w:b/>
                <w:color w:val="006600"/>
                <w:sz w:val="18"/>
              </w:rPr>
              <w:t>[x] Completed (Clean modular Python codebase in src/)</w:t>
            </w:r>
          </w:p>
        </w:tc>
      </w:tr>
      <w:tr>
        <w:tc>
          <w:tcPr>
            <w:tcW w:type="dxa" w:w="4680"/>
            <w:tcMar>
              <w:top w:w="100" w:type="dxa"/>
              <w:bottom w:w="100" w:type="dxa"/>
              <w:left w:w="150" w:type="dxa"/>
              <w:right w:w="150" w:type="dxa"/>
            </w:tcMar>
          </w:tcPr>
          <w:p>
            <w:r>
              <w:rPr>
                <w:sz w:val="18"/>
              </w:rPr>
              <w:t>README</w:t>
            </w:r>
          </w:p>
        </w:tc>
        <w:tc>
          <w:tcPr>
            <w:tcW w:type="dxa" w:w="4680"/>
            <w:tcMar>
              <w:top w:w="100" w:type="dxa"/>
              <w:bottom w:w="100" w:type="dxa"/>
              <w:left w:w="150" w:type="dxa"/>
              <w:right w:w="150" w:type="dxa"/>
            </w:tcMar>
          </w:tcPr>
          <w:p>
            <w:r>
              <w:rPr>
                <w:b/>
                <w:color w:val="006600"/>
                <w:sz w:val="18"/>
              </w:rPr>
              <w:t>[x] Completed (Comprehensive setup &amp; reproduction guide)</w:t>
            </w:r>
          </w:p>
        </w:tc>
      </w:tr>
      <w:tr>
        <w:tc>
          <w:tcPr>
            <w:tcW w:type="dxa" w:w="4680"/>
            <w:tcMar>
              <w:top w:w="100" w:type="dxa"/>
              <w:bottom w:w="100" w:type="dxa"/>
              <w:left w:w="150" w:type="dxa"/>
              <w:right w:w="150" w:type="dxa"/>
            </w:tcMar>
            <w:shd w:fill="F2F5F9"/>
          </w:tcPr>
          <w:p>
            <w:r>
              <w:rPr>
                <w:sz w:val="18"/>
              </w:rPr>
              <w:t>Presentation</w:t>
            </w:r>
          </w:p>
        </w:tc>
        <w:tc>
          <w:tcPr>
            <w:tcW w:type="dxa" w:w="4680"/>
            <w:tcMar>
              <w:top w:w="100" w:type="dxa"/>
              <w:bottom w:w="100" w:type="dxa"/>
              <w:left w:w="150" w:type="dxa"/>
              <w:right w:w="150" w:type="dxa"/>
            </w:tcMar>
            <w:shd w:fill="F2F5F9"/>
          </w:tcPr>
          <w:p>
            <w:r>
              <w:rPr>
                <w:b/>
                <w:color w:val="006600"/>
                <w:sz w:val="18"/>
              </w:rPr>
              <w:t>[x] Ready (Slides and interactive Streamlit live demo)</w:t>
            </w:r>
          </w:p>
        </w:tc>
      </w:tr>
    </w:tbl>
    <w:p>
      <w:pPr>
        <w:spacing w:after="240"/>
      </w:pPr>
    </w:p>
    <w:p>
      <w:pPr>
        <w:keepNext/>
        <w:spacing w:before="240" w:after="60"/>
      </w:pPr>
      <w:r>
        <w:rPr>
          <w:b/>
          <w:color w:val="003366"/>
          <w:sz w:val="26"/>
        </w:rPr>
        <w:t>Appendix D. Appendix D — Frequently Asked Questions &amp; Compliance</w:t>
      </w:r>
    </w:p>
    <w:p>
      <w:pPr>
        <w:keepNext/>
        <w:spacing w:before="80" w:after="20"/>
      </w:pPr>
      <w:r>
        <w:rPr>
          <w:b/>
          <w:color w:val="003366"/>
          <w:sz w:val="20"/>
        </w:rPr>
        <w:t>Q: Can we use ChatGPT / Gemini / Claude?</w:t>
      </w:r>
    </w:p>
    <w:p>
      <w:pPr>
        <w:spacing w:after="80"/>
        <w:ind w:left="216"/>
      </w:pPr>
      <w:r>
        <w:rPr>
          <w:sz w:val="19"/>
        </w:rPr>
        <w:t>A: Yes. Generative AI may be used to support learning and research (brainstorming, writing, summarizing literature, explaining concepts). All usage must be disclosed in the AI Declaration (Appendix B) and the individual AI Reflection (Section 19).</w:t>
      </w:r>
    </w:p>
    <w:p>
      <w:pPr>
        <w:keepNext/>
        <w:spacing w:before="80" w:after="20"/>
      </w:pPr>
      <w:r>
        <w:rPr>
          <w:b/>
          <w:color w:val="003366"/>
          <w:sz w:val="20"/>
        </w:rPr>
        <w:t>Q: Can we use GitHub Copilot?</w:t>
      </w:r>
    </w:p>
    <w:p>
      <w:pPr>
        <w:spacing w:after="80"/>
        <w:ind w:left="216"/>
      </w:pPr>
      <w:r>
        <w:rPr>
          <w:sz w:val="19"/>
        </w:rPr>
        <w:t>A: Yes, for code assistance and debugging. The student team remains fully responsible for the correctness and integrity of the submitted code, and must declare its use.</w:t>
      </w:r>
    </w:p>
    <w:p>
      <w:pPr>
        <w:keepNext/>
        <w:spacing w:before="80" w:after="20"/>
      </w:pPr>
      <w:r>
        <w:rPr>
          <w:b/>
          <w:color w:val="003366"/>
          <w:sz w:val="20"/>
        </w:rPr>
        <w:t>Q: Can we use pretrained models?</w:t>
      </w:r>
    </w:p>
    <w:p>
      <w:pPr>
        <w:spacing w:after="80"/>
        <w:ind w:left="216"/>
      </w:pPr>
      <w:r>
        <w:rPr>
          <w:sz w:val="19"/>
        </w:rPr>
        <w:t>A: Yes, provided you cite them, respect their licenses, and clearly state what was reused versus what you implemented or fine-tuned yourself (Note: Our project trains the PyTorch Autoencoder from scratch to guarantee architectural transparency).</w:t>
      </w:r>
    </w:p>
    <w:p>
      <w:pPr>
        <w:keepNext/>
        <w:spacing w:before="80" w:after="20"/>
      </w:pPr>
      <w:r>
        <w:rPr>
          <w:b/>
          <w:color w:val="003366"/>
          <w:sz w:val="20"/>
        </w:rPr>
        <w:t>Q: Can we use Kaggle or other public datasets?</w:t>
      </w:r>
    </w:p>
    <w:p>
      <w:pPr>
        <w:spacing w:after="80"/>
        <w:ind w:left="216"/>
      </w:pPr>
      <w:r>
        <w:rPr>
          <w:sz w:val="19"/>
        </w:rPr>
        <w:t>A: Yes. Use public datasets (DEAP, RAVDESS, EMO-DB, PhysioNet, Kaggle, DCASE, etc.), cite them correctly, and comply with their licensing terms.</w:t>
      </w:r>
    </w:p>
    <w:p>
      <w:pPr>
        <w:keepNext/>
        <w:spacing w:before="80" w:after="20"/>
      </w:pPr>
      <w:r>
        <w:rPr>
          <w:b/>
          <w:color w:val="003366"/>
          <w:sz w:val="20"/>
        </w:rPr>
        <w:t>Q: Can we collect our own datasets?</w:t>
      </w:r>
    </w:p>
    <w:p>
      <w:pPr>
        <w:spacing w:after="80"/>
        <w:ind w:left="216"/>
      </w:pPr>
      <w:r>
        <w:rPr>
          <w:sz w:val="19"/>
        </w:rPr>
        <w:t>A: Yes. Self-recorded data requires informed consent, anonymization of personal information, and a description of the consent procedure in the Ethics Statement.</w:t>
      </w:r>
    </w:p>
    <w:p>
      <w:pPr>
        <w:keepNext/>
        <w:spacing w:before="80" w:after="20"/>
      </w:pPr>
      <w:r>
        <w:rPr>
          <w:b/>
          <w:color w:val="003366"/>
          <w:sz w:val="20"/>
        </w:rPr>
        <w:t>Q: Can we reuse code from GitHub?</w:t>
      </w:r>
    </w:p>
    <w:p>
      <w:pPr>
        <w:spacing w:after="80"/>
        <w:ind w:left="216"/>
      </w:pPr>
      <w:r>
        <w:rPr>
          <w:sz w:val="19"/>
        </w:rPr>
        <w:t>A: Yes, if properly credited and license-compliant. Reusing code without attribution is an academic-integrity violation.</w:t>
      </w:r>
    </w:p>
    <w:p>
      <w:pPr>
        <w:keepNext/>
        <w:spacing w:before="80" w:after="20"/>
      </w:pPr>
      <w:r>
        <w:rPr>
          <w:b/>
          <w:color w:val="003366"/>
          <w:sz w:val="20"/>
        </w:rPr>
        <w:t>Q: How should AI usage be declared?</w:t>
      </w:r>
    </w:p>
    <w:p>
      <w:pPr>
        <w:spacing w:after="80"/>
        <w:ind w:left="216"/>
      </w:pPr>
      <w:r>
        <w:rPr>
          <w:sz w:val="19"/>
        </w:rPr>
        <w:t>A: Complete the AI Declaration (Appendix B) in the report appendix and submit the individual AI Reflection. State the tools, purpose, stages used, and how outputs were verified.</w:t>
      </w:r>
    </w:p>
    <w:p>
      <w:pPr>
        <w:keepNext/>
        <w:spacing w:before="80" w:after="20"/>
      </w:pPr>
      <w:r>
        <w:rPr>
          <w:b/>
          <w:color w:val="003366"/>
          <w:sz w:val="20"/>
        </w:rPr>
        <w:t>Q: What happens if experiments cannot be reproduced?</w:t>
      </w:r>
    </w:p>
    <w:p>
      <w:pPr>
        <w:spacing w:after="80"/>
        <w:ind w:left="216"/>
      </w:pPr>
      <w:r>
        <w:rPr>
          <w:sz w:val="19"/>
        </w:rPr>
        <w:t>A: Reproducibility is graded. If the submitted package cannot re-run the experiments (missing seeds, versions, data, or instructions), the reproducibility criterion is not met and the score is reduced accordingly. (Note: Our project guarantees 100% one-command reproduction via 'python run.py --seed 42').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