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D28B20"/>
          <w:sz w:val="28"/>
        </w:rPr>
        <w:t>TỔNG HỢP</w:t>
      </w:r>
    </w:p>
    <w:p>
      <w:pPr>
        <w:pStyle w:val="Title"/>
        <w:jc w:val="center"/>
      </w:pPr>
      <w:r>
        <w:t>QUẢN LÝ PRODUCT BACKLOG</w:t>
      </w:r>
    </w:p>
    <w:p>
      <w:pPr>
        <w:jc w:val="center"/>
      </w:pPr>
      <w:r>
        <w:rPr>
          <w:b/>
          <w:color w:val="245A45"/>
          <w:sz w:val="34"/>
        </w:rPr>
        <w:t>CHƯƠNG TRÌNH GREENMART LOYALTY</w:t>
      </w:r>
    </w:p>
    <w:p>
      <w:pPr>
        <w:spacing w:before="300"/>
        <w:jc w:val="center"/>
      </w:pPr>
      <w:r>
        <w:t>Tài liệu vận hành Scrum • Product Backlog • MoSCoW • Acceptance Criteria • Definition of Done</w:t>
      </w:r>
    </w:p>
    <w:p/>
    <w:tbl>
      <w:tblPr>
        <w:tblStyle w:val="TableGrid"/>
        <w:tblW w:type="auto" w:w="0"/>
        <w:jc w:val="center"/>
        <w:tblLayout w:type="fixed"/>
        <w:tblLook w:firstColumn="1" w:firstRow="1" w:lastColumn="0" w:lastRow="0" w:noHBand="0" w:noVBand="1" w:val="04A0"/>
      </w:tblPr>
      <w:tblGrid>
        <w:gridCol w:w="5112"/>
        <w:gridCol w:w="5112"/>
      </w:tblGrid>
      <w:tr>
        <w:tc>
          <w:tcPr>
            <w:tcW w:type="dxa" w:w="2304"/>
            <w:vAlign w:val="center"/>
            <w:shd w:fill="176B4D"/>
          </w:tcPr>
          <w:p>
            <w:pPr>
              <w:spacing w:after="20"/>
            </w:pPr>
            <w:r/>
            <w:r>
              <w:rPr>
                <w:rFonts w:ascii="Arial" w:hAnsi="Arial" w:eastAsia="Arial"/>
                <w:b/>
                <w:color w:val="FFFFFF"/>
                <w:sz w:val="18"/>
              </w:rPr>
              <w:t>Thông tin</w:t>
            </w:r>
          </w:p>
        </w:tc>
        <w:tc>
          <w:tcPr>
            <w:tcW w:type="dxa" w:w="8208"/>
            <w:vAlign w:val="center"/>
            <w:shd w:fill="176B4D"/>
          </w:tcPr>
          <w:p>
            <w:pPr>
              <w:spacing w:after="20"/>
            </w:pPr>
            <w:r/>
            <w:r>
              <w:rPr>
                <w:rFonts w:ascii="Arial" w:hAnsi="Arial" w:eastAsia="Arial"/>
                <w:b/>
                <w:color w:val="FFFFFF"/>
                <w:sz w:val="18"/>
              </w:rPr>
              <w:t>Nội dung</w:t>
            </w:r>
          </w:p>
        </w:tc>
      </w:tr>
      <w:tr>
        <w:tc>
          <w:tcPr>
            <w:tcW w:type="dxa" w:w="2304"/>
            <w:vAlign w:val="center"/>
          </w:tcPr>
          <w:p>
            <w:pPr>
              <w:spacing w:after="20"/>
            </w:pPr>
            <w:r/>
            <w:r>
              <w:rPr>
                <w:rFonts w:ascii="Arial" w:hAnsi="Arial" w:eastAsia="Arial"/>
                <w:b w:val="0"/>
                <w:sz w:val="18"/>
              </w:rPr>
              <w:t>Đơn vị</w:t>
            </w:r>
          </w:p>
        </w:tc>
        <w:tc>
          <w:tcPr>
            <w:tcW w:type="dxa" w:w="8208"/>
            <w:vAlign w:val="center"/>
          </w:tcPr>
          <w:p>
            <w:pPr>
              <w:spacing w:after="20"/>
            </w:pPr>
            <w:r/>
            <w:r>
              <w:rPr>
                <w:rFonts w:ascii="Arial" w:hAnsi="Arial" w:eastAsia="Arial"/>
                <w:b w:val="0"/>
                <w:sz w:val="18"/>
              </w:rPr>
              <w:t>TechViet</w:t>
            </w:r>
          </w:p>
        </w:tc>
      </w:tr>
      <w:tr>
        <w:tc>
          <w:tcPr>
            <w:tcW w:type="dxa" w:w="2304"/>
            <w:vAlign w:val="center"/>
          </w:tcPr>
          <w:p>
            <w:pPr>
              <w:spacing w:after="20"/>
            </w:pPr>
            <w:r/>
            <w:r>
              <w:rPr>
                <w:rFonts w:ascii="Arial" w:hAnsi="Arial" w:eastAsia="Arial"/>
                <w:b w:val="0"/>
                <w:sz w:val="18"/>
              </w:rPr>
              <w:t>Đội thực hiện</w:t>
            </w:r>
          </w:p>
        </w:tc>
        <w:tc>
          <w:tcPr>
            <w:tcW w:type="dxa" w:w="8208"/>
            <w:vAlign w:val="center"/>
          </w:tcPr>
          <w:p>
            <w:pPr>
              <w:spacing w:after="20"/>
            </w:pPr>
            <w:r/>
            <w:r>
              <w:rPr>
                <w:rFonts w:ascii="Arial" w:hAnsi="Arial" w:eastAsia="Arial"/>
                <w:b w:val="0"/>
                <w:sz w:val="18"/>
              </w:rPr>
              <w:t>Đội Hoa (Scrum Team)</w:t>
            </w:r>
          </w:p>
        </w:tc>
      </w:tr>
      <w:tr>
        <w:tc>
          <w:tcPr>
            <w:tcW w:type="dxa" w:w="2304"/>
            <w:vAlign w:val="center"/>
          </w:tcPr>
          <w:p>
            <w:pPr>
              <w:spacing w:after="20"/>
            </w:pPr>
            <w:r/>
            <w:r>
              <w:rPr>
                <w:rFonts w:ascii="Arial" w:hAnsi="Arial" w:eastAsia="Arial"/>
                <w:b w:val="0"/>
                <w:sz w:val="18"/>
              </w:rPr>
              <w:t>Thời lượng dự án</w:t>
            </w:r>
          </w:p>
        </w:tc>
        <w:tc>
          <w:tcPr>
            <w:tcW w:type="dxa" w:w="8208"/>
            <w:vAlign w:val="center"/>
          </w:tcPr>
          <w:p>
            <w:pPr>
              <w:spacing w:after="20"/>
            </w:pPr>
            <w:r/>
            <w:r>
              <w:rPr>
                <w:rFonts w:ascii="Arial" w:hAnsi="Arial" w:eastAsia="Arial"/>
                <w:b w:val="0"/>
                <w:sz w:val="18"/>
              </w:rPr>
              <w:t>8 tuần</w:t>
            </w:r>
          </w:p>
        </w:tc>
      </w:tr>
      <w:tr>
        <w:tc>
          <w:tcPr>
            <w:tcW w:type="dxa" w:w="2304"/>
            <w:vAlign w:val="center"/>
          </w:tcPr>
          <w:p>
            <w:pPr>
              <w:spacing w:after="20"/>
            </w:pPr>
            <w:r/>
            <w:r>
              <w:rPr>
                <w:rFonts w:ascii="Arial" w:hAnsi="Arial" w:eastAsia="Arial"/>
                <w:b w:val="0"/>
                <w:sz w:val="18"/>
              </w:rPr>
              <w:t>Phạm vi tài liệu</w:t>
            </w:r>
          </w:p>
        </w:tc>
        <w:tc>
          <w:tcPr>
            <w:tcW w:type="dxa" w:w="8208"/>
            <w:vAlign w:val="center"/>
          </w:tcPr>
          <w:p>
            <w:pPr>
              <w:spacing w:after="20"/>
            </w:pPr>
            <w:r/>
            <w:r>
              <w:rPr>
                <w:rFonts w:ascii="Arial" w:hAnsi="Arial" w:eastAsia="Arial"/>
                <w:b w:val="0"/>
                <w:sz w:val="18"/>
              </w:rPr>
              <w:t>Thiết kế vận hành và kiểm soát thay đổi cho chương trình Loyalty</w:t>
            </w:r>
          </w:p>
        </w:tc>
      </w:tr>
    </w:tbl>
    <w:p>
      <w:pPr>
        <w:spacing w:after="20"/>
      </w:pPr>
    </w:p>
    <w:p>
      <w:pPr>
        <w:spacing w:before="600"/>
        <w:jc w:val="center"/>
      </w:pPr>
      <w:r>
        <w:rPr>
          <w:i/>
          <w:color w:val="646464"/>
        </w:rPr>
        <w:t>Phiên bản 1.0 | Ngày lập: 21/10/2026</w:t>
      </w:r>
    </w:p>
    <w:p>
      <w:r>
        <w:br w:type="page"/>
      </w:r>
    </w:p>
    <w:p>
      <w:pPr>
        <w:pStyle w:val="Heading1"/>
      </w:pPr>
      <w:r>
        <w:t>Tóm tắt điều hành</w:t>
      </w:r>
    </w:p>
    <w:p>
      <w:r>
        <w:t>GreenMart Loyalty được triển khai trong 8 tuần nhằm tăng khả năng giữ chân khách hàng, đồng thời bảo đảm tính chính xác của điểm thưởng, tính minh bạch giao dịch và khả năng giải thích số dư/hạn sử dụng. Tài liệu đề xuất Sprint 2 tuần, tổng cộng 4 Sprint; sử dụng MoSCoW dựa trên giá trị nghiệp vụ, rủi ro kiểm soát và tính phụ thuộc. Sprint 1 tập trung vào luồng cốt lõi có thể kiểm thử đầu-cuối, đồng thời chỉ đưa tối đa hai hạng mục Should have vào Sprint.</w:t>
      </w:r>
    </w:p>
    <w:p>
      <w:pPr>
        <w:pStyle w:val="Heading1"/>
      </w:pPr>
      <w:r>
        <w:t>PHẦN A — THIẾT KẾ VẬN HÀNH SCRUM</w:t>
      </w:r>
    </w:p>
    <w:p>
      <w:pPr>
        <w:pStyle w:val="Heading2"/>
      </w:pPr>
      <w:r>
        <w:t>A1. Độ dài Sprint và nhịp triển khai</w:t>
      </w:r>
    </w:p>
    <w:p>
      <w:r>
        <w:t>Chọn Sprint cố định 2 tuần (10 ngày làm việc), tương ứng 4 Sprint trong 8 tuần. Chu kỳ này đủ ngắn để kiểm tra sớm các quy tắc điểm và nhận phản hồi từ Marketing/Kế toán, nhưng vẫn có thời gian xây dựng, tích hợp và kiểm thử một Increment có ý nghĩa.</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440"/>
            <w:vAlign w:val="center"/>
            <w:shd w:fill="176B4D"/>
          </w:tcPr>
          <w:p>
            <w:pPr>
              <w:spacing w:after="20"/>
            </w:pPr>
            <w:r/>
            <w:r>
              <w:rPr>
                <w:rFonts w:ascii="Arial" w:hAnsi="Arial" w:eastAsia="Arial"/>
                <w:b/>
                <w:color w:val="FFFFFF"/>
                <w:sz w:val="17"/>
              </w:rPr>
              <w:t>Sprint</w:t>
            </w:r>
          </w:p>
        </w:tc>
        <w:tc>
          <w:tcPr>
            <w:tcW w:type="dxa" w:w="2160"/>
            <w:vAlign w:val="center"/>
            <w:shd w:fill="176B4D"/>
          </w:tcPr>
          <w:p>
            <w:pPr>
              <w:spacing w:after="20"/>
            </w:pPr>
            <w:r/>
            <w:r>
              <w:rPr>
                <w:rFonts w:ascii="Arial" w:hAnsi="Arial" w:eastAsia="Arial"/>
                <w:b/>
                <w:color w:val="FFFFFF"/>
                <w:sz w:val="17"/>
              </w:rPr>
              <w:t>Thời gian dự kiến</w:t>
            </w:r>
          </w:p>
        </w:tc>
        <w:tc>
          <w:tcPr>
            <w:tcW w:type="dxa" w:w="6912"/>
            <w:vAlign w:val="center"/>
            <w:shd w:fill="176B4D"/>
          </w:tcPr>
          <w:p>
            <w:pPr>
              <w:spacing w:after="20"/>
            </w:pPr>
            <w:r/>
            <w:r>
              <w:rPr>
                <w:rFonts w:ascii="Arial" w:hAnsi="Arial" w:eastAsia="Arial"/>
                <w:b/>
                <w:color w:val="FFFFFF"/>
                <w:sz w:val="17"/>
              </w:rPr>
              <w:t>Trọng tâm</w:t>
            </w:r>
          </w:p>
        </w:tc>
      </w:tr>
      <w:tr>
        <w:tc>
          <w:tcPr>
            <w:tcW w:type="dxa" w:w="1440"/>
            <w:vAlign w:val="center"/>
          </w:tcPr>
          <w:p>
            <w:pPr>
              <w:spacing w:after="20"/>
            </w:pPr>
            <w:r/>
            <w:r>
              <w:rPr>
                <w:rFonts w:ascii="Arial" w:hAnsi="Arial" w:eastAsia="Arial"/>
                <w:b w:val="0"/>
                <w:sz w:val="17"/>
              </w:rPr>
              <w:t>Sprint 1</w:t>
            </w:r>
          </w:p>
        </w:tc>
        <w:tc>
          <w:tcPr>
            <w:tcW w:type="dxa" w:w="2160"/>
            <w:vAlign w:val="center"/>
          </w:tcPr>
          <w:p>
            <w:pPr>
              <w:spacing w:after="20"/>
            </w:pPr>
            <w:r/>
            <w:r>
              <w:rPr>
                <w:rFonts w:ascii="Arial" w:hAnsi="Arial" w:eastAsia="Arial"/>
                <w:b w:val="0"/>
                <w:sz w:val="17"/>
              </w:rPr>
              <w:t>Tuần 1–2</w:t>
            </w:r>
          </w:p>
        </w:tc>
        <w:tc>
          <w:tcPr>
            <w:tcW w:type="dxa" w:w="6912"/>
            <w:vAlign w:val="center"/>
          </w:tcPr>
          <w:p>
            <w:pPr>
              <w:spacing w:after="20"/>
            </w:pPr>
            <w:r/>
            <w:r>
              <w:rPr>
                <w:rFonts w:ascii="Arial" w:hAnsi="Arial" w:eastAsia="Arial"/>
                <w:b w:val="0"/>
                <w:sz w:val="17"/>
              </w:rPr>
              <w:t>Luồng tích điểm cốt lõi, số dư và kiểm soát giao dịch</w:t>
            </w:r>
          </w:p>
        </w:tc>
      </w:tr>
      <w:tr>
        <w:tc>
          <w:tcPr>
            <w:tcW w:type="dxa" w:w="1440"/>
            <w:vAlign w:val="center"/>
          </w:tcPr>
          <w:p>
            <w:pPr>
              <w:spacing w:after="20"/>
            </w:pPr>
            <w:r/>
            <w:r>
              <w:rPr>
                <w:rFonts w:ascii="Arial" w:hAnsi="Arial" w:eastAsia="Arial"/>
                <w:b w:val="0"/>
                <w:sz w:val="17"/>
              </w:rPr>
              <w:t>Sprint 2</w:t>
            </w:r>
          </w:p>
        </w:tc>
        <w:tc>
          <w:tcPr>
            <w:tcW w:type="dxa" w:w="2160"/>
            <w:vAlign w:val="center"/>
          </w:tcPr>
          <w:p>
            <w:pPr>
              <w:spacing w:after="20"/>
            </w:pPr>
            <w:r/>
            <w:r>
              <w:rPr>
                <w:rFonts w:ascii="Arial" w:hAnsi="Arial" w:eastAsia="Arial"/>
                <w:b w:val="0"/>
                <w:sz w:val="17"/>
              </w:rPr>
              <w:t>Tuần 3–4</w:t>
            </w:r>
          </w:p>
        </w:tc>
        <w:tc>
          <w:tcPr>
            <w:tcW w:type="dxa" w:w="6912"/>
            <w:vAlign w:val="center"/>
          </w:tcPr>
          <w:p>
            <w:pPr>
              <w:spacing w:after="20"/>
            </w:pPr>
            <w:r/>
            <w:r>
              <w:rPr>
                <w:rFonts w:ascii="Arial" w:hAnsi="Arial" w:eastAsia="Arial"/>
                <w:b w:val="0"/>
                <w:sz w:val="17"/>
              </w:rPr>
              <w:t>Đổi điểm, áp dụng quy tắc ưu đãi và xử lý lỗi</w:t>
            </w:r>
          </w:p>
        </w:tc>
      </w:tr>
      <w:tr>
        <w:tc>
          <w:tcPr>
            <w:tcW w:type="dxa" w:w="1440"/>
            <w:vAlign w:val="center"/>
          </w:tcPr>
          <w:p>
            <w:pPr>
              <w:spacing w:after="20"/>
            </w:pPr>
            <w:r/>
            <w:r>
              <w:rPr>
                <w:rFonts w:ascii="Arial" w:hAnsi="Arial" w:eastAsia="Arial"/>
                <w:b w:val="0"/>
                <w:sz w:val="17"/>
              </w:rPr>
              <w:t>Sprint 3</w:t>
            </w:r>
          </w:p>
        </w:tc>
        <w:tc>
          <w:tcPr>
            <w:tcW w:type="dxa" w:w="2160"/>
            <w:vAlign w:val="center"/>
          </w:tcPr>
          <w:p>
            <w:pPr>
              <w:spacing w:after="20"/>
            </w:pPr>
            <w:r/>
            <w:r>
              <w:rPr>
                <w:rFonts w:ascii="Arial" w:hAnsi="Arial" w:eastAsia="Arial"/>
                <w:b w:val="0"/>
                <w:sz w:val="17"/>
              </w:rPr>
              <w:t>Tuần 5–6</w:t>
            </w:r>
          </w:p>
        </w:tc>
        <w:tc>
          <w:tcPr>
            <w:tcW w:type="dxa" w:w="6912"/>
            <w:vAlign w:val="center"/>
          </w:tcPr>
          <w:p>
            <w:pPr>
              <w:spacing w:after="20"/>
            </w:pPr>
            <w:r/>
            <w:r>
              <w:rPr>
                <w:rFonts w:ascii="Arial" w:hAnsi="Arial" w:eastAsia="Arial"/>
                <w:b w:val="0"/>
                <w:sz w:val="17"/>
              </w:rPr>
              <w:t>Lịch sử giao dịch, hạn điểm và thông báo</w:t>
            </w:r>
          </w:p>
        </w:tc>
      </w:tr>
      <w:tr>
        <w:tc>
          <w:tcPr>
            <w:tcW w:type="dxa" w:w="1440"/>
            <w:vAlign w:val="center"/>
          </w:tcPr>
          <w:p>
            <w:pPr>
              <w:spacing w:after="20"/>
            </w:pPr>
            <w:r/>
            <w:r>
              <w:rPr>
                <w:rFonts w:ascii="Arial" w:hAnsi="Arial" w:eastAsia="Arial"/>
                <w:b w:val="0"/>
                <w:sz w:val="17"/>
              </w:rPr>
              <w:t>Sprint 4</w:t>
            </w:r>
          </w:p>
        </w:tc>
        <w:tc>
          <w:tcPr>
            <w:tcW w:type="dxa" w:w="2160"/>
            <w:vAlign w:val="center"/>
          </w:tcPr>
          <w:p>
            <w:pPr>
              <w:spacing w:after="20"/>
            </w:pPr>
            <w:r/>
            <w:r>
              <w:rPr>
                <w:rFonts w:ascii="Arial" w:hAnsi="Arial" w:eastAsia="Arial"/>
                <w:b w:val="0"/>
                <w:sz w:val="17"/>
              </w:rPr>
              <w:t>Tuần 7–8</w:t>
            </w:r>
          </w:p>
        </w:tc>
        <w:tc>
          <w:tcPr>
            <w:tcW w:type="dxa" w:w="6912"/>
            <w:vAlign w:val="center"/>
          </w:tcPr>
          <w:p>
            <w:pPr>
              <w:spacing w:after="20"/>
            </w:pPr>
            <w:r/>
            <w:r>
              <w:rPr>
                <w:rFonts w:ascii="Arial" w:hAnsi="Arial" w:eastAsia="Arial"/>
                <w:b w:val="0"/>
                <w:sz w:val="17"/>
              </w:rPr>
              <w:t>Ổn định, kiểm thử hồi quy, UAT và phát hành</w:t>
            </w:r>
          </w:p>
        </w:tc>
      </w:tr>
    </w:tbl>
    <w:p>
      <w:pPr>
        <w:spacing w:after="20"/>
      </w:pPr>
    </w:p>
    <w:p>
      <w:pPr>
        <w:pStyle w:val="Heading2"/>
      </w:pPr>
      <w:r>
        <w:t>A2. Phân định 3 vai trò Scrum</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872"/>
            <w:vAlign w:val="center"/>
            <w:shd w:fill="176B4D"/>
          </w:tcPr>
          <w:p>
            <w:pPr>
              <w:spacing w:after="20"/>
            </w:pPr>
            <w:r/>
            <w:r>
              <w:rPr>
                <w:rFonts w:ascii="Arial" w:hAnsi="Arial" w:eastAsia="Arial"/>
                <w:b/>
                <w:color w:val="FFFFFF"/>
                <w:sz w:val="16"/>
              </w:rPr>
              <w:t>Vai trò</w:t>
            </w:r>
          </w:p>
        </w:tc>
        <w:tc>
          <w:tcPr>
            <w:tcW w:type="dxa" w:w="5472"/>
            <w:vAlign w:val="center"/>
            <w:shd w:fill="176B4D"/>
          </w:tcPr>
          <w:p>
            <w:pPr>
              <w:spacing w:after="20"/>
            </w:pPr>
            <w:r/>
            <w:r>
              <w:rPr>
                <w:rFonts w:ascii="Arial" w:hAnsi="Arial" w:eastAsia="Arial"/>
                <w:b/>
                <w:color w:val="FFFFFF"/>
                <w:sz w:val="16"/>
              </w:rPr>
              <w:t>Trách nhiệm trong GreenMart Loyalty</w:t>
            </w:r>
          </w:p>
        </w:tc>
        <w:tc>
          <w:tcPr>
            <w:tcW w:type="dxa" w:w="3168"/>
            <w:vAlign w:val="center"/>
            <w:shd w:fill="176B4D"/>
          </w:tcPr>
          <w:p>
            <w:pPr>
              <w:spacing w:after="20"/>
            </w:pPr>
            <w:r/>
            <w:r>
              <w:rPr>
                <w:rFonts w:ascii="Arial" w:hAnsi="Arial" w:eastAsia="Arial"/>
                <w:b/>
                <w:color w:val="FFFFFF"/>
                <w:sz w:val="16"/>
              </w:rPr>
              <w:t>Sản phẩm/đầu ra trách nhiệm</w:t>
            </w:r>
          </w:p>
        </w:tc>
      </w:tr>
      <w:tr>
        <w:tc>
          <w:tcPr>
            <w:tcW w:type="dxa" w:w="1872"/>
            <w:vAlign w:val="center"/>
          </w:tcPr>
          <w:p>
            <w:pPr>
              <w:spacing w:after="20"/>
            </w:pPr>
            <w:r/>
            <w:r>
              <w:rPr>
                <w:rFonts w:ascii="Arial" w:hAnsi="Arial" w:eastAsia="Arial"/>
                <w:b w:val="0"/>
                <w:sz w:val="16"/>
              </w:rPr>
              <w:t>Product Owner (PO)</w:t>
            </w:r>
          </w:p>
        </w:tc>
        <w:tc>
          <w:tcPr>
            <w:tcW w:type="dxa" w:w="5472"/>
            <w:vAlign w:val="center"/>
          </w:tcPr>
          <w:p>
            <w:pPr>
              <w:spacing w:after="20"/>
            </w:pPr>
            <w:r/>
            <w:r>
              <w:rPr>
                <w:rFonts w:ascii="Arial" w:hAnsi="Arial" w:eastAsia="Arial"/>
                <w:b w:val="0"/>
                <w:sz w:val="16"/>
              </w:rPr>
              <w:t>Tối đa hóa giá trị sản phẩm; làm rõ mục tiêu Loyalty; quản lý, sắp xếp và minh bạch Product Backlog; xác định thứ tự ưu tiên; trao đổi với Marketing, Kế toán và đại diện khách hàng; quyết định nội dung phát hành trong phạm vi quyền hạn.</w:t>
            </w:r>
          </w:p>
        </w:tc>
        <w:tc>
          <w:tcPr>
            <w:tcW w:type="dxa" w:w="3168"/>
            <w:vAlign w:val="center"/>
          </w:tcPr>
          <w:p>
            <w:pPr>
              <w:spacing w:after="20"/>
            </w:pPr>
            <w:r/>
            <w:r>
              <w:rPr>
                <w:rFonts w:ascii="Arial" w:hAnsi="Arial" w:eastAsia="Arial"/>
                <w:b w:val="0"/>
                <w:sz w:val="16"/>
              </w:rPr>
              <w:t>Product Goal; Product Backlog được sắp xếp; tiêu chí nghiệp vụ và thứ tự ưu tiên rõ ràng.</w:t>
            </w:r>
          </w:p>
        </w:tc>
      </w:tr>
      <w:tr>
        <w:tc>
          <w:tcPr>
            <w:tcW w:type="dxa" w:w="1872"/>
            <w:vAlign w:val="center"/>
          </w:tcPr>
          <w:p>
            <w:pPr>
              <w:spacing w:after="20"/>
            </w:pPr>
            <w:r/>
            <w:r>
              <w:rPr>
                <w:rFonts w:ascii="Arial" w:hAnsi="Arial" w:eastAsia="Arial"/>
                <w:b w:val="0"/>
                <w:sz w:val="16"/>
              </w:rPr>
              <w:t>Scrum Master (SM)</w:t>
            </w:r>
          </w:p>
        </w:tc>
        <w:tc>
          <w:tcPr>
            <w:tcW w:type="dxa" w:w="5472"/>
            <w:vAlign w:val="center"/>
          </w:tcPr>
          <w:p>
            <w:pPr>
              <w:spacing w:after="20"/>
            </w:pPr>
            <w:r/>
            <w:r>
              <w:rPr>
                <w:rFonts w:ascii="Arial" w:hAnsi="Arial" w:eastAsia="Arial"/>
                <w:b w:val="0"/>
                <w:sz w:val="16"/>
              </w:rPr>
              <w:t>Thiết lập Scrum đúng cách; hỗ trợ đội tự quản; huấn luyện các bên về cách đưa yêu cầu mới vào backlog; loại bỏ trở ngại; bảo đảm sự kiện Scrum diễn ra hiệu quả; giúp xử lý xung đột ưu tiên mà không làm mất ổn định Sprint Goal.</w:t>
            </w:r>
          </w:p>
        </w:tc>
        <w:tc>
          <w:tcPr>
            <w:tcW w:type="dxa" w:w="3168"/>
            <w:vAlign w:val="center"/>
          </w:tcPr>
          <w:p>
            <w:pPr>
              <w:spacing w:after="20"/>
            </w:pPr>
            <w:r/>
            <w:r>
              <w:rPr>
                <w:rFonts w:ascii="Arial" w:hAnsi="Arial" w:eastAsia="Arial"/>
                <w:b w:val="0"/>
                <w:sz w:val="16"/>
              </w:rPr>
              <w:t>Scrum vận hành hiệu quả; trở ngại được xử lý; thay đổi được điều phối minh bạch.</w:t>
            </w:r>
          </w:p>
        </w:tc>
      </w:tr>
      <w:tr>
        <w:tc>
          <w:tcPr>
            <w:tcW w:type="dxa" w:w="1872"/>
            <w:vAlign w:val="center"/>
          </w:tcPr>
          <w:p>
            <w:pPr>
              <w:spacing w:after="20"/>
            </w:pPr>
            <w:r/>
            <w:r>
              <w:rPr>
                <w:rFonts w:ascii="Arial" w:hAnsi="Arial" w:eastAsia="Arial"/>
                <w:b w:val="0"/>
                <w:sz w:val="16"/>
              </w:rPr>
              <w:t>Development Team / Developers</w:t>
            </w:r>
          </w:p>
        </w:tc>
        <w:tc>
          <w:tcPr>
            <w:tcW w:type="dxa" w:w="5472"/>
            <w:vAlign w:val="center"/>
          </w:tcPr>
          <w:p>
            <w:pPr>
              <w:spacing w:after="20"/>
            </w:pPr>
            <w:r/>
            <w:r>
              <w:rPr>
                <w:rFonts w:ascii="Arial" w:hAnsi="Arial" w:eastAsia="Arial"/>
                <w:b w:val="0"/>
                <w:sz w:val="16"/>
              </w:rPr>
              <w:t>Liên chức năng cùng phân tích, thiết kế, phát triển, kiểm thử, tích hợp và bảo đảm chất lượng; ước lượng công việc; chọn lượng việc Sprint phù hợp năng lực; theo dõi tiến độ hằng ngày; điều chỉnh kế hoạch để đạt Sprint Goal.</w:t>
            </w:r>
          </w:p>
        </w:tc>
        <w:tc>
          <w:tcPr>
            <w:tcW w:type="dxa" w:w="3168"/>
            <w:vAlign w:val="center"/>
          </w:tcPr>
          <w:p>
            <w:pPr>
              <w:spacing w:after="20"/>
            </w:pPr>
            <w:r/>
            <w:r>
              <w:rPr>
                <w:rFonts w:ascii="Arial" w:hAnsi="Arial" w:eastAsia="Arial"/>
                <w:b w:val="0"/>
                <w:sz w:val="16"/>
              </w:rPr>
              <w:t>Increment có thể sử dụng, đáp ứng Definition of Done; chất lượng kỹ thuật và kiểm thử được chứng minh.</w:t>
            </w:r>
          </w:p>
        </w:tc>
      </w:tr>
    </w:tbl>
    <w:p>
      <w:pPr>
        <w:spacing w:after="20"/>
      </w:pPr>
    </w:p>
    <w:p>
      <w:pPr>
        <w:pStyle w:val="Heading2"/>
      </w:pPr>
      <w:r>
        <w:t>A3. Sự kiện Scrum quan trọng nhất: Sprint Review</w:t>
      </w:r>
    </w:p>
    <w:p>
      <w:r>
        <w:t>Sprint Review được chọn vì đây là dịp các bên liên quan trực tiếp xem Increment đã hoàn thành, đối chiếu kết quả với mục tiêu giữ chân khách hàng và phản hồi về quy tắc tích/đổi điểm. Sự kiện này thể hiện rõ nhất trụ cột Thanh tra (Inspection) và tạo đầu vào cho Thích nghi (Adaptation): Product Backlog có thể được điều chỉnh dựa trên bằng chứng và phản hồi thực tế.</w:t>
      </w:r>
    </w:p>
    <w:p>
      <w:r>
        <w:t>Lưu ý vận hành: Daily Scrum hỗ trợ kiểm tra tiến độ hằng ngày; Sprint Planning thiết lập Sprint Goal; Sprint Retrospective giúp cải tiến cách làm việc. Các sự kiện đều được giữ đúng nhịp, không chỉ tổ chức Sprint Review.</w:t>
      </w:r>
    </w:p>
    <w:p>
      <w:pPr>
        <w:pStyle w:val="Heading1"/>
      </w:pPr>
      <w:r>
        <w:t>PHẦN B — PRODUCT BACKLOG &amp; ƯU TIÊN HÓA MOSCOW</w:t>
      </w:r>
    </w:p>
    <w:p>
      <w:pPr>
        <w:pStyle w:val="Heading2"/>
      </w:pPr>
      <w:r>
        <w:t>B1. Tiêu chí ưu tiên</w:t>
      </w:r>
    </w:p>
    <w:p>
      <w:pPr>
        <w:pStyle w:val="ListBullet"/>
        <w:spacing w:after="40"/>
      </w:pPr>
      <w:r>
        <w:t>Giá trị nghiệp vụ (V): hỗ trợ trực tiếp giữ chân khách hàng và vận hành chương trình.</w:t>
      </w:r>
    </w:p>
    <w:p>
      <w:pPr>
        <w:pStyle w:val="ListBullet"/>
        <w:spacing w:after="40"/>
      </w:pPr>
      <w:r>
        <w:t>Rủi ro/tuân thủ (R): sai lệch điểm, thiếu khả năng đối soát hoặc gây thiệt hại tài chính.</w:t>
      </w:r>
    </w:p>
    <w:p>
      <w:pPr>
        <w:pStyle w:val="ListBullet"/>
        <w:spacing w:after="40"/>
      </w:pPr>
      <w:r>
        <w:t>Phụ thuộc nền tảng (D): là điều kiện cần để các luồng sau hoạt động.</w:t>
      </w:r>
    </w:p>
    <w:p>
      <w:pPr>
        <w:pStyle w:val="ListBullet"/>
        <w:spacing w:after="40"/>
      </w:pPr>
      <w:r>
        <w:t>Phạm vi Sprint 1: phải tạo được luồng cốt lõi có thể kiểm thử; năng lực Sprint 1 đủ toàn bộ Must và tối đa 2 Should.</w:t>
      </w:r>
    </w:p>
    <w:p>
      <w:r>
        <w:t>Quy tắc phân loại: Must = bắt buộc để chương trình vận hành an toàn và đúng nghiệp vụ; Should = giá trị cao nhưng có thể trì hoãn ngắn hạn mà không phá vỡ luồng cốt lõi; Could = cải thiện trải nghiệm, có thể làm nếu còn năng lực; Won’t have this time = chủ động không thực hiện trong 8 tuần hiện tại. Đây là cách phân loại theo tác động và rủi ro, không phải theo sở thích.</w:t>
      </w:r>
    </w:p>
    <w:p>
      <w:pPr>
        <w:pStyle w:val="Heading2"/>
      </w:pPr>
      <w:r>
        <w:t>B2. Product Backlog có ưu tiên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792"/>
            <w:vAlign w:val="center"/>
            <w:shd w:fill="176B4D"/>
          </w:tcPr>
          <w:p>
            <w:pPr>
              <w:spacing w:after="20"/>
            </w:pPr>
            <w:r/>
            <w:r>
              <w:rPr>
                <w:rFonts w:ascii="Arial" w:hAnsi="Arial" w:eastAsia="Arial"/>
                <w:b/>
                <w:color w:val="FFFFFF"/>
                <w:sz w:val="15"/>
              </w:rPr>
              <w:t>ID</w:t>
            </w:r>
          </w:p>
        </w:tc>
        <w:tc>
          <w:tcPr>
            <w:tcW w:type="dxa" w:w="2520"/>
            <w:vAlign w:val="center"/>
            <w:shd w:fill="176B4D"/>
          </w:tcPr>
          <w:p>
            <w:pPr>
              <w:spacing w:after="20"/>
            </w:pPr>
            <w:r/>
            <w:r>
              <w:rPr>
                <w:rFonts w:ascii="Arial" w:hAnsi="Arial" w:eastAsia="Arial"/>
                <w:b/>
                <w:color w:val="FFFFFF"/>
                <w:sz w:val="15"/>
              </w:rPr>
              <w:t>Hạng mục</w:t>
            </w:r>
          </w:p>
        </w:tc>
        <w:tc>
          <w:tcPr>
            <w:tcW w:type="dxa" w:w="1080"/>
            <w:vAlign w:val="center"/>
            <w:shd w:fill="176B4D"/>
          </w:tcPr>
          <w:p>
            <w:pPr>
              <w:spacing w:after="20"/>
            </w:pPr>
            <w:r/>
            <w:r>
              <w:rPr>
                <w:rFonts w:ascii="Arial" w:hAnsi="Arial" w:eastAsia="Arial"/>
                <w:b/>
                <w:color w:val="FFFFFF"/>
                <w:sz w:val="15"/>
              </w:rPr>
              <w:t>MoSCoW</w:t>
            </w:r>
          </w:p>
        </w:tc>
        <w:tc>
          <w:tcPr>
            <w:tcW w:type="dxa" w:w="5184"/>
            <w:vAlign w:val="center"/>
            <w:shd w:fill="176B4D"/>
          </w:tcPr>
          <w:p>
            <w:pPr>
              <w:spacing w:after="20"/>
            </w:pPr>
            <w:r/>
            <w:r>
              <w:rPr>
                <w:rFonts w:ascii="Arial" w:hAnsi="Arial" w:eastAsia="Arial"/>
                <w:b/>
                <w:color w:val="FFFFFF"/>
                <w:sz w:val="15"/>
              </w:rPr>
              <w:t>Cơ sở ưu tiên</w:t>
            </w:r>
          </w:p>
        </w:tc>
        <w:tc>
          <w:tcPr>
            <w:tcW w:type="dxa" w:w="1440"/>
            <w:vAlign w:val="center"/>
            <w:shd w:fill="176B4D"/>
          </w:tcPr>
          <w:p>
            <w:pPr>
              <w:spacing w:after="20"/>
            </w:pPr>
            <w:r/>
            <w:r>
              <w:rPr>
                <w:rFonts w:ascii="Arial" w:hAnsi="Arial" w:eastAsia="Arial"/>
                <w:b/>
                <w:color w:val="FFFFFF"/>
                <w:sz w:val="15"/>
              </w:rPr>
              <w:t>Dự kiến</w:t>
            </w:r>
          </w:p>
        </w:tc>
      </w:tr>
      <w:tr>
        <w:tc>
          <w:tcPr>
            <w:tcW w:type="dxa" w:w="792"/>
            <w:vAlign w:val="center"/>
          </w:tcPr>
          <w:p>
            <w:pPr>
              <w:spacing w:after="20"/>
            </w:pPr>
            <w:r/>
            <w:r>
              <w:rPr>
                <w:rFonts w:ascii="Arial" w:hAnsi="Arial" w:eastAsia="Arial"/>
                <w:b w:val="0"/>
                <w:sz w:val="15"/>
              </w:rPr>
              <w:t>PB-01</w:t>
            </w:r>
          </w:p>
        </w:tc>
        <w:tc>
          <w:tcPr>
            <w:tcW w:type="dxa" w:w="2520"/>
            <w:vAlign w:val="center"/>
          </w:tcPr>
          <w:p>
            <w:pPr>
              <w:spacing w:after="20"/>
            </w:pPr>
            <w:r/>
            <w:r>
              <w:rPr>
                <w:rFonts w:ascii="Arial" w:hAnsi="Arial" w:eastAsia="Arial"/>
                <w:b w:val="0"/>
                <w:sz w:val="15"/>
              </w:rPr>
              <w:t>Tích điểm sau đơn hàng thành công</w:t>
            </w:r>
          </w:p>
        </w:tc>
        <w:tc>
          <w:tcPr>
            <w:tcW w:type="dxa" w:w="1080"/>
            <w:vAlign w:val="center"/>
          </w:tcPr>
          <w:p>
            <w:pPr>
              <w:spacing w:after="20"/>
            </w:pPr>
            <w:r/>
            <w:r>
              <w:rPr>
                <w:rFonts w:ascii="Arial" w:hAnsi="Arial" w:eastAsia="Arial"/>
                <w:b w:val="0"/>
                <w:sz w:val="15"/>
              </w:rPr>
              <w:t>Must</w:t>
            </w:r>
          </w:p>
        </w:tc>
        <w:tc>
          <w:tcPr>
            <w:tcW w:type="dxa" w:w="5184"/>
            <w:vAlign w:val="center"/>
          </w:tcPr>
          <w:p>
            <w:pPr>
              <w:spacing w:after="20"/>
            </w:pPr>
            <w:r/>
            <w:r>
              <w:rPr>
                <w:rFonts w:ascii="Arial" w:hAnsi="Arial" w:eastAsia="Arial"/>
                <w:b w:val="0"/>
                <w:sz w:val="15"/>
              </w:rPr>
              <w:t>V/R/D cao: giá trị cốt lõi; chỉ ghi nhận đơn thành công; cần làm nền cho số dư và đổi điểm.</w:t>
            </w:r>
          </w:p>
        </w:tc>
        <w:tc>
          <w:tcPr>
            <w:tcW w:type="dxa" w:w="1440"/>
            <w:vAlign w:val="center"/>
          </w:tcPr>
          <w:p>
            <w:pPr>
              <w:spacing w:after="20"/>
            </w:pPr>
            <w:r/>
            <w:r>
              <w:rPr>
                <w:rFonts w:ascii="Arial" w:hAnsi="Arial" w:eastAsia="Arial"/>
                <w:b w:val="0"/>
                <w:sz w:val="15"/>
              </w:rPr>
              <w:t>Sprint 1</w:t>
            </w:r>
          </w:p>
        </w:tc>
      </w:tr>
      <w:tr>
        <w:tc>
          <w:tcPr>
            <w:tcW w:type="dxa" w:w="792"/>
            <w:vAlign w:val="center"/>
          </w:tcPr>
          <w:p>
            <w:pPr>
              <w:spacing w:after="20"/>
            </w:pPr>
            <w:r/>
            <w:r>
              <w:rPr>
                <w:rFonts w:ascii="Arial" w:hAnsi="Arial" w:eastAsia="Arial"/>
                <w:b w:val="0"/>
                <w:sz w:val="15"/>
              </w:rPr>
              <w:t>PB-02</w:t>
            </w:r>
          </w:p>
        </w:tc>
        <w:tc>
          <w:tcPr>
            <w:tcW w:type="dxa" w:w="2520"/>
            <w:vAlign w:val="center"/>
          </w:tcPr>
          <w:p>
            <w:pPr>
              <w:spacing w:after="20"/>
            </w:pPr>
            <w:r/>
            <w:r>
              <w:rPr>
                <w:rFonts w:ascii="Arial" w:hAnsi="Arial" w:eastAsia="Arial"/>
                <w:b w:val="0"/>
                <w:sz w:val="15"/>
              </w:rPr>
              <w:t>Thu hồi điểm khi đơn đã tích bị hủy/hoàn</w:t>
            </w:r>
          </w:p>
        </w:tc>
        <w:tc>
          <w:tcPr>
            <w:tcW w:type="dxa" w:w="1080"/>
            <w:vAlign w:val="center"/>
          </w:tcPr>
          <w:p>
            <w:pPr>
              <w:spacing w:after="20"/>
            </w:pPr>
            <w:r/>
            <w:r>
              <w:rPr>
                <w:rFonts w:ascii="Arial" w:hAnsi="Arial" w:eastAsia="Arial"/>
                <w:b w:val="0"/>
                <w:sz w:val="15"/>
              </w:rPr>
              <w:t>Must</w:t>
            </w:r>
          </w:p>
        </w:tc>
        <w:tc>
          <w:tcPr>
            <w:tcW w:type="dxa" w:w="5184"/>
            <w:vAlign w:val="center"/>
          </w:tcPr>
          <w:p>
            <w:pPr>
              <w:spacing w:after="20"/>
            </w:pPr>
            <w:r/>
            <w:r>
              <w:rPr>
                <w:rFonts w:ascii="Arial" w:hAnsi="Arial" w:eastAsia="Arial"/>
                <w:b w:val="0"/>
                <w:sz w:val="15"/>
              </w:rPr>
              <w:t>Rất cao về tính đúng đắn tài chính; tránh khách giữ điểm từ giao dịch không hợp lệ.</w:t>
            </w:r>
          </w:p>
        </w:tc>
        <w:tc>
          <w:tcPr>
            <w:tcW w:type="dxa" w:w="1440"/>
            <w:vAlign w:val="center"/>
          </w:tcPr>
          <w:p>
            <w:pPr>
              <w:spacing w:after="20"/>
            </w:pPr>
            <w:r/>
            <w:r>
              <w:rPr>
                <w:rFonts w:ascii="Arial" w:hAnsi="Arial" w:eastAsia="Arial"/>
                <w:b w:val="0"/>
                <w:sz w:val="15"/>
              </w:rPr>
              <w:t>Sprint 1</w:t>
            </w:r>
          </w:p>
        </w:tc>
      </w:tr>
      <w:tr>
        <w:tc>
          <w:tcPr>
            <w:tcW w:type="dxa" w:w="792"/>
            <w:vAlign w:val="center"/>
          </w:tcPr>
          <w:p>
            <w:pPr>
              <w:spacing w:after="20"/>
            </w:pPr>
            <w:r/>
            <w:r>
              <w:rPr>
                <w:rFonts w:ascii="Arial" w:hAnsi="Arial" w:eastAsia="Arial"/>
                <w:b w:val="0"/>
                <w:sz w:val="15"/>
              </w:rPr>
              <w:t>PB-03</w:t>
            </w:r>
          </w:p>
        </w:tc>
        <w:tc>
          <w:tcPr>
            <w:tcW w:type="dxa" w:w="2520"/>
            <w:vAlign w:val="center"/>
          </w:tcPr>
          <w:p>
            <w:pPr>
              <w:spacing w:after="20"/>
            </w:pPr>
            <w:r/>
            <w:r>
              <w:rPr>
                <w:rFonts w:ascii="Arial" w:hAnsi="Arial" w:eastAsia="Arial"/>
                <w:b w:val="0"/>
                <w:sz w:val="15"/>
              </w:rPr>
              <w:t>Xem số dư điểm hiện tại</w:t>
            </w:r>
          </w:p>
        </w:tc>
        <w:tc>
          <w:tcPr>
            <w:tcW w:type="dxa" w:w="1080"/>
            <w:vAlign w:val="center"/>
          </w:tcPr>
          <w:p>
            <w:pPr>
              <w:spacing w:after="20"/>
            </w:pPr>
            <w:r/>
            <w:r>
              <w:rPr>
                <w:rFonts w:ascii="Arial" w:hAnsi="Arial" w:eastAsia="Arial"/>
                <w:b w:val="0"/>
                <w:sz w:val="15"/>
              </w:rPr>
              <w:t>Must</w:t>
            </w:r>
          </w:p>
        </w:tc>
        <w:tc>
          <w:tcPr>
            <w:tcW w:type="dxa" w:w="5184"/>
            <w:vAlign w:val="center"/>
          </w:tcPr>
          <w:p>
            <w:pPr>
              <w:spacing w:after="20"/>
            </w:pPr>
            <w:r/>
            <w:r>
              <w:rPr>
                <w:rFonts w:ascii="Arial" w:hAnsi="Arial" w:eastAsia="Arial"/>
                <w:b w:val="0"/>
                <w:sz w:val="15"/>
              </w:rPr>
              <w:t>Khách và hệ thống cần biết số dư hợp lệ để quyết định đổi điểm; hỗ trợ minh bạch.</w:t>
            </w:r>
          </w:p>
        </w:tc>
        <w:tc>
          <w:tcPr>
            <w:tcW w:type="dxa" w:w="1440"/>
            <w:vAlign w:val="center"/>
          </w:tcPr>
          <w:p>
            <w:pPr>
              <w:spacing w:after="20"/>
            </w:pPr>
            <w:r/>
            <w:r>
              <w:rPr>
                <w:rFonts w:ascii="Arial" w:hAnsi="Arial" w:eastAsia="Arial"/>
                <w:b w:val="0"/>
                <w:sz w:val="15"/>
              </w:rPr>
              <w:t>Sprint 1</w:t>
            </w:r>
          </w:p>
        </w:tc>
      </w:tr>
      <w:tr>
        <w:tc>
          <w:tcPr>
            <w:tcW w:type="dxa" w:w="792"/>
            <w:vAlign w:val="center"/>
          </w:tcPr>
          <w:p>
            <w:pPr>
              <w:spacing w:after="20"/>
            </w:pPr>
            <w:r/>
            <w:r>
              <w:rPr>
                <w:rFonts w:ascii="Arial" w:hAnsi="Arial" w:eastAsia="Arial"/>
                <w:b w:val="0"/>
                <w:sz w:val="15"/>
              </w:rPr>
              <w:t>PB-04</w:t>
            </w:r>
          </w:p>
        </w:tc>
        <w:tc>
          <w:tcPr>
            <w:tcW w:type="dxa" w:w="2520"/>
            <w:vAlign w:val="center"/>
          </w:tcPr>
          <w:p>
            <w:pPr>
              <w:spacing w:after="20"/>
            </w:pPr>
            <w:r/>
            <w:r>
              <w:rPr>
                <w:rFonts w:ascii="Arial" w:hAnsi="Arial" w:eastAsia="Arial"/>
                <w:b w:val="0"/>
                <w:sz w:val="15"/>
              </w:rPr>
              <w:t>Đổi điểm lấy ưu đãi/mã giảm giá</w:t>
            </w:r>
          </w:p>
        </w:tc>
        <w:tc>
          <w:tcPr>
            <w:tcW w:type="dxa" w:w="1080"/>
            <w:vAlign w:val="center"/>
          </w:tcPr>
          <w:p>
            <w:pPr>
              <w:spacing w:after="20"/>
            </w:pPr>
            <w:r/>
            <w:r>
              <w:rPr>
                <w:rFonts w:ascii="Arial" w:hAnsi="Arial" w:eastAsia="Arial"/>
                <w:b w:val="0"/>
                <w:sz w:val="15"/>
              </w:rPr>
              <w:t>Must</w:t>
            </w:r>
          </w:p>
        </w:tc>
        <w:tc>
          <w:tcPr>
            <w:tcW w:type="dxa" w:w="5184"/>
            <w:vAlign w:val="center"/>
          </w:tcPr>
          <w:p>
            <w:pPr>
              <w:spacing w:after="20"/>
            </w:pPr>
            <w:r/>
            <w:r>
              <w:rPr>
                <w:rFonts w:ascii="Arial" w:hAnsi="Arial" w:eastAsia="Arial"/>
                <w:b w:val="0"/>
                <w:sz w:val="15"/>
              </w:rPr>
              <w:t>Giá trị cốt lõi của Loyalty; phải kiểm tra đủ số dư, tỷ lệ 100 điểm = 20.000đ và không cộng dồn mặc định.</w:t>
            </w:r>
          </w:p>
        </w:tc>
        <w:tc>
          <w:tcPr>
            <w:tcW w:type="dxa" w:w="1440"/>
            <w:vAlign w:val="center"/>
          </w:tcPr>
          <w:p>
            <w:pPr>
              <w:spacing w:after="20"/>
            </w:pPr>
            <w:r/>
            <w:r>
              <w:rPr>
                <w:rFonts w:ascii="Arial" w:hAnsi="Arial" w:eastAsia="Arial"/>
                <w:b w:val="0"/>
                <w:sz w:val="15"/>
              </w:rPr>
              <w:t>Sprint 1</w:t>
            </w:r>
          </w:p>
        </w:tc>
      </w:tr>
      <w:tr>
        <w:tc>
          <w:tcPr>
            <w:tcW w:type="dxa" w:w="792"/>
            <w:vAlign w:val="center"/>
          </w:tcPr>
          <w:p>
            <w:pPr>
              <w:spacing w:after="20"/>
            </w:pPr>
            <w:r/>
            <w:r>
              <w:rPr>
                <w:rFonts w:ascii="Arial" w:hAnsi="Arial" w:eastAsia="Arial"/>
                <w:b w:val="0"/>
                <w:sz w:val="15"/>
              </w:rPr>
              <w:t>PB-05</w:t>
            </w:r>
          </w:p>
        </w:tc>
        <w:tc>
          <w:tcPr>
            <w:tcW w:type="dxa" w:w="2520"/>
            <w:vAlign w:val="center"/>
          </w:tcPr>
          <w:p>
            <w:pPr>
              <w:spacing w:after="20"/>
            </w:pPr>
            <w:r/>
            <w:r>
              <w:rPr>
                <w:rFonts w:ascii="Arial" w:hAnsi="Arial" w:eastAsia="Arial"/>
                <w:b w:val="0"/>
                <w:sz w:val="15"/>
              </w:rPr>
              <w:t>Lịch sử tích/đổi/thu hồi điểm có mã tham chiếu</w:t>
            </w:r>
          </w:p>
        </w:tc>
        <w:tc>
          <w:tcPr>
            <w:tcW w:type="dxa" w:w="1080"/>
            <w:vAlign w:val="center"/>
          </w:tcPr>
          <w:p>
            <w:pPr>
              <w:spacing w:after="20"/>
            </w:pPr>
            <w:r/>
            <w:r>
              <w:rPr>
                <w:rFonts w:ascii="Arial" w:hAnsi="Arial" w:eastAsia="Arial"/>
                <w:b w:val="0"/>
                <w:sz w:val="15"/>
              </w:rPr>
              <w:t>Should</w:t>
            </w:r>
          </w:p>
        </w:tc>
        <w:tc>
          <w:tcPr>
            <w:tcW w:type="dxa" w:w="5184"/>
            <w:vAlign w:val="center"/>
          </w:tcPr>
          <w:p>
            <w:pPr>
              <w:spacing w:after="20"/>
            </w:pPr>
            <w:r/>
            <w:r>
              <w:rPr>
                <w:rFonts w:ascii="Arial" w:hAnsi="Arial" w:eastAsia="Arial"/>
                <w:b w:val="0"/>
                <w:sz w:val="15"/>
              </w:rPr>
              <w:t>Giá trị cao cho đối soát Kế toán và giải thích khiếu nại; có thể triển khai sau khi luồng giao dịch cốt lõi chạy ổn.</w:t>
            </w:r>
          </w:p>
        </w:tc>
        <w:tc>
          <w:tcPr>
            <w:tcW w:type="dxa" w:w="1440"/>
            <w:vAlign w:val="center"/>
          </w:tcPr>
          <w:p>
            <w:pPr>
              <w:spacing w:after="20"/>
            </w:pPr>
            <w:r/>
            <w:r>
              <w:rPr>
                <w:rFonts w:ascii="Arial" w:hAnsi="Arial" w:eastAsia="Arial"/>
                <w:b w:val="0"/>
                <w:sz w:val="15"/>
              </w:rPr>
              <w:t>Sprint 2</w:t>
            </w:r>
          </w:p>
        </w:tc>
      </w:tr>
      <w:tr>
        <w:tc>
          <w:tcPr>
            <w:tcW w:type="dxa" w:w="792"/>
            <w:vAlign w:val="center"/>
          </w:tcPr>
          <w:p>
            <w:pPr>
              <w:spacing w:after="20"/>
            </w:pPr>
            <w:r/>
            <w:r>
              <w:rPr>
                <w:rFonts w:ascii="Arial" w:hAnsi="Arial" w:eastAsia="Arial"/>
                <w:b w:val="0"/>
                <w:sz w:val="15"/>
              </w:rPr>
              <w:t>PB-06</w:t>
            </w:r>
          </w:p>
        </w:tc>
        <w:tc>
          <w:tcPr>
            <w:tcW w:type="dxa" w:w="2520"/>
            <w:vAlign w:val="center"/>
          </w:tcPr>
          <w:p>
            <w:pPr>
              <w:spacing w:after="20"/>
            </w:pPr>
            <w:r/>
            <w:r>
              <w:rPr>
                <w:rFonts w:ascii="Arial" w:hAnsi="Arial" w:eastAsia="Arial"/>
                <w:b w:val="0"/>
                <w:sz w:val="15"/>
              </w:rPr>
              <w:t>Thông báo điểm sắp hết hạn</w:t>
            </w:r>
          </w:p>
        </w:tc>
        <w:tc>
          <w:tcPr>
            <w:tcW w:type="dxa" w:w="1080"/>
            <w:vAlign w:val="center"/>
          </w:tcPr>
          <w:p>
            <w:pPr>
              <w:spacing w:after="20"/>
            </w:pPr>
            <w:r/>
            <w:r>
              <w:rPr>
                <w:rFonts w:ascii="Arial" w:hAnsi="Arial" w:eastAsia="Arial"/>
                <w:b w:val="0"/>
                <w:sz w:val="15"/>
              </w:rPr>
              <w:t>Should</w:t>
            </w:r>
          </w:p>
        </w:tc>
        <w:tc>
          <w:tcPr>
            <w:tcW w:type="dxa" w:w="5184"/>
            <w:vAlign w:val="center"/>
          </w:tcPr>
          <w:p>
            <w:pPr>
              <w:spacing w:after="20"/>
            </w:pPr>
            <w:r/>
            <w:r>
              <w:rPr>
                <w:rFonts w:ascii="Arial" w:hAnsi="Arial" w:eastAsia="Arial"/>
                <w:b w:val="0"/>
                <w:sz w:val="15"/>
              </w:rPr>
              <w:t>Giúp khách sử dụng điểm trước hạn; không chặn việc tích/đổi điểm cốt lõi.</w:t>
            </w:r>
          </w:p>
        </w:tc>
        <w:tc>
          <w:tcPr>
            <w:tcW w:type="dxa" w:w="1440"/>
            <w:vAlign w:val="center"/>
          </w:tcPr>
          <w:p>
            <w:pPr>
              <w:spacing w:after="20"/>
            </w:pPr>
            <w:r/>
            <w:r>
              <w:rPr>
                <w:rFonts w:ascii="Arial" w:hAnsi="Arial" w:eastAsia="Arial"/>
                <w:b w:val="0"/>
                <w:sz w:val="15"/>
              </w:rPr>
              <w:t>Sprint 3</w:t>
            </w:r>
          </w:p>
        </w:tc>
      </w:tr>
      <w:tr>
        <w:tc>
          <w:tcPr>
            <w:tcW w:type="dxa" w:w="792"/>
            <w:vAlign w:val="center"/>
          </w:tcPr>
          <w:p>
            <w:pPr>
              <w:spacing w:after="20"/>
            </w:pPr>
            <w:r/>
            <w:r>
              <w:rPr>
                <w:rFonts w:ascii="Arial" w:hAnsi="Arial" w:eastAsia="Arial"/>
                <w:b w:val="0"/>
                <w:sz w:val="15"/>
              </w:rPr>
              <w:t>PB-07</w:t>
            </w:r>
          </w:p>
        </w:tc>
        <w:tc>
          <w:tcPr>
            <w:tcW w:type="dxa" w:w="2520"/>
            <w:vAlign w:val="center"/>
          </w:tcPr>
          <w:p>
            <w:pPr>
              <w:spacing w:after="20"/>
            </w:pPr>
            <w:r/>
            <w:r>
              <w:rPr>
                <w:rFonts w:ascii="Arial" w:hAnsi="Arial" w:eastAsia="Arial"/>
                <w:b w:val="0"/>
                <w:sz w:val="15"/>
              </w:rPr>
              <w:t>Tự động hết hạn điểm sau 12 tháng</w:t>
            </w:r>
          </w:p>
        </w:tc>
        <w:tc>
          <w:tcPr>
            <w:tcW w:type="dxa" w:w="1080"/>
            <w:vAlign w:val="center"/>
          </w:tcPr>
          <w:p>
            <w:pPr>
              <w:spacing w:after="20"/>
            </w:pPr>
            <w:r/>
            <w:r>
              <w:rPr>
                <w:rFonts w:ascii="Arial" w:hAnsi="Arial" w:eastAsia="Arial"/>
                <w:b w:val="0"/>
                <w:sz w:val="15"/>
              </w:rPr>
              <w:t>Must</w:t>
            </w:r>
          </w:p>
        </w:tc>
        <w:tc>
          <w:tcPr>
            <w:tcW w:type="dxa" w:w="5184"/>
            <w:vAlign w:val="center"/>
          </w:tcPr>
          <w:p>
            <w:pPr>
              <w:spacing w:after="20"/>
            </w:pPr>
            <w:r/>
            <w:r>
              <w:rPr>
                <w:rFonts w:ascii="Arial" w:hAnsi="Arial" w:eastAsia="Arial"/>
                <w:b w:val="0"/>
                <w:sz w:val="15"/>
              </w:rPr>
              <w:t>Rủi ro nghiệp vụ cao: bảo đảm số dư chỉ gồm điểm còn hiệu lực; cần thiết kế cùng sổ điểm ngay từ đầu.</w:t>
            </w:r>
          </w:p>
        </w:tc>
        <w:tc>
          <w:tcPr>
            <w:tcW w:type="dxa" w:w="1440"/>
            <w:vAlign w:val="center"/>
          </w:tcPr>
          <w:p>
            <w:pPr>
              <w:spacing w:after="20"/>
            </w:pPr>
            <w:r/>
            <w:r>
              <w:rPr>
                <w:rFonts w:ascii="Arial" w:hAnsi="Arial" w:eastAsia="Arial"/>
                <w:b w:val="0"/>
                <w:sz w:val="15"/>
              </w:rPr>
              <w:t>Sprint 1 — tối thiểu quy tắc và xử lý nền; hoàn thiện kiểm thử ở Sprint 2</w:t>
            </w:r>
          </w:p>
        </w:tc>
      </w:tr>
      <w:tr>
        <w:tc>
          <w:tcPr>
            <w:tcW w:type="dxa" w:w="792"/>
            <w:vAlign w:val="center"/>
          </w:tcPr>
          <w:p>
            <w:pPr>
              <w:spacing w:after="20"/>
            </w:pPr>
            <w:r/>
            <w:r>
              <w:rPr>
                <w:rFonts w:ascii="Arial" w:hAnsi="Arial" w:eastAsia="Arial"/>
                <w:b w:val="0"/>
                <w:sz w:val="15"/>
              </w:rPr>
              <w:t>PB-08</w:t>
            </w:r>
          </w:p>
        </w:tc>
        <w:tc>
          <w:tcPr>
            <w:tcW w:type="dxa" w:w="2520"/>
            <w:vAlign w:val="center"/>
          </w:tcPr>
          <w:p>
            <w:pPr>
              <w:spacing w:after="20"/>
            </w:pPr>
            <w:r/>
            <w:r>
              <w:rPr>
                <w:rFonts w:ascii="Arial" w:hAnsi="Arial" w:eastAsia="Arial"/>
                <w:b w:val="0"/>
                <w:sz w:val="15"/>
              </w:rPr>
              <w:t>Trang quản trị cấu hình tỷ lệ tích/đổi điểm có lịch sử hiệu lực</w:t>
            </w:r>
          </w:p>
        </w:tc>
        <w:tc>
          <w:tcPr>
            <w:tcW w:type="dxa" w:w="1080"/>
            <w:vAlign w:val="center"/>
          </w:tcPr>
          <w:p>
            <w:pPr>
              <w:spacing w:after="20"/>
            </w:pPr>
            <w:r/>
            <w:r>
              <w:rPr>
                <w:rFonts w:ascii="Arial" w:hAnsi="Arial" w:eastAsia="Arial"/>
                <w:b w:val="0"/>
                <w:sz w:val="15"/>
              </w:rPr>
              <w:t>Should</w:t>
            </w:r>
          </w:p>
        </w:tc>
        <w:tc>
          <w:tcPr>
            <w:tcW w:type="dxa" w:w="5184"/>
            <w:vAlign w:val="center"/>
          </w:tcPr>
          <w:p>
            <w:pPr>
              <w:spacing w:after="20"/>
            </w:pPr>
            <w:r/>
            <w:r>
              <w:rPr>
                <w:rFonts w:ascii="Arial" w:hAnsi="Arial" w:eastAsia="Arial"/>
                <w:b w:val="0"/>
                <w:sz w:val="15"/>
              </w:rPr>
              <w:t>Cho phép thay đổi chương trình có kiểm soát, truy vết thời điểm áp dụng; giảm phụ thuộc phát hành mã.</w:t>
            </w:r>
          </w:p>
        </w:tc>
        <w:tc>
          <w:tcPr>
            <w:tcW w:type="dxa" w:w="1440"/>
            <w:vAlign w:val="center"/>
          </w:tcPr>
          <w:p>
            <w:pPr>
              <w:spacing w:after="20"/>
            </w:pPr>
            <w:r/>
            <w:r>
              <w:rPr>
                <w:rFonts w:ascii="Arial" w:hAnsi="Arial" w:eastAsia="Arial"/>
                <w:b w:val="0"/>
                <w:sz w:val="15"/>
              </w:rPr>
              <w:t>Sprint 2</w:t>
            </w:r>
          </w:p>
        </w:tc>
      </w:tr>
      <w:tr>
        <w:tc>
          <w:tcPr>
            <w:tcW w:type="dxa" w:w="792"/>
            <w:vAlign w:val="center"/>
          </w:tcPr>
          <w:p>
            <w:pPr>
              <w:spacing w:after="20"/>
            </w:pPr>
            <w:r/>
            <w:r>
              <w:rPr>
                <w:rFonts w:ascii="Arial" w:hAnsi="Arial" w:eastAsia="Arial"/>
                <w:b w:val="0"/>
                <w:sz w:val="15"/>
              </w:rPr>
              <w:t>PB-09</w:t>
            </w:r>
          </w:p>
        </w:tc>
        <w:tc>
          <w:tcPr>
            <w:tcW w:type="dxa" w:w="2520"/>
            <w:vAlign w:val="center"/>
          </w:tcPr>
          <w:p>
            <w:pPr>
              <w:spacing w:after="20"/>
            </w:pPr>
            <w:r/>
            <w:r>
              <w:rPr>
                <w:rFonts w:ascii="Arial" w:hAnsi="Arial" w:eastAsia="Arial"/>
                <w:b w:val="0"/>
                <w:sz w:val="15"/>
              </w:rPr>
              <w:t>Báo cáo tổng hợp điểm phát sinh/đã đổi/đã thu hồi cho Kế toán</w:t>
            </w:r>
          </w:p>
        </w:tc>
        <w:tc>
          <w:tcPr>
            <w:tcW w:type="dxa" w:w="1080"/>
            <w:vAlign w:val="center"/>
          </w:tcPr>
          <w:p>
            <w:pPr>
              <w:spacing w:after="20"/>
            </w:pPr>
            <w:r/>
            <w:r>
              <w:rPr>
                <w:rFonts w:ascii="Arial" w:hAnsi="Arial" w:eastAsia="Arial"/>
                <w:b w:val="0"/>
                <w:sz w:val="15"/>
              </w:rPr>
              <w:t>Could</w:t>
            </w:r>
          </w:p>
        </w:tc>
        <w:tc>
          <w:tcPr>
            <w:tcW w:type="dxa" w:w="5184"/>
            <w:vAlign w:val="center"/>
          </w:tcPr>
          <w:p>
            <w:pPr>
              <w:spacing w:after="20"/>
            </w:pPr>
            <w:r/>
            <w:r>
              <w:rPr>
                <w:rFonts w:ascii="Arial" w:hAnsi="Arial" w:eastAsia="Arial"/>
                <w:b w:val="0"/>
                <w:sz w:val="15"/>
              </w:rPr>
              <w:t>Cải thiện đối soát nhưng có thể bắt đầu bằng lịch sử giao dịch và báo cáo thủ công ở giai đoạn đầu.</w:t>
            </w:r>
          </w:p>
        </w:tc>
        <w:tc>
          <w:tcPr>
            <w:tcW w:type="dxa" w:w="1440"/>
            <w:vAlign w:val="center"/>
          </w:tcPr>
          <w:p>
            <w:pPr>
              <w:spacing w:after="20"/>
            </w:pPr>
            <w:r/>
            <w:r>
              <w:rPr>
                <w:rFonts w:ascii="Arial" w:hAnsi="Arial" w:eastAsia="Arial"/>
                <w:b w:val="0"/>
                <w:sz w:val="15"/>
              </w:rPr>
              <w:t>Sprint 3–4 nếu còn năng lực</w:t>
            </w:r>
          </w:p>
        </w:tc>
      </w:tr>
      <w:tr>
        <w:tc>
          <w:tcPr>
            <w:tcW w:type="dxa" w:w="792"/>
            <w:vAlign w:val="center"/>
          </w:tcPr>
          <w:p>
            <w:pPr>
              <w:spacing w:after="20"/>
            </w:pPr>
            <w:r/>
            <w:r>
              <w:rPr>
                <w:rFonts w:ascii="Arial" w:hAnsi="Arial" w:eastAsia="Arial"/>
                <w:b w:val="0"/>
                <w:sz w:val="15"/>
              </w:rPr>
              <w:t>PB-10</w:t>
            </w:r>
          </w:p>
        </w:tc>
        <w:tc>
          <w:tcPr>
            <w:tcW w:type="dxa" w:w="2520"/>
            <w:vAlign w:val="center"/>
          </w:tcPr>
          <w:p>
            <w:pPr>
              <w:spacing w:after="20"/>
            </w:pPr>
            <w:r/>
            <w:r>
              <w:rPr>
                <w:rFonts w:ascii="Arial" w:hAnsi="Arial" w:eastAsia="Arial"/>
                <w:b w:val="0"/>
                <w:sz w:val="15"/>
              </w:rPr>
              <w:t>Phân hạng thành viên và ưu đãi cá nhân hóa</w:t>
            </w:r>
          </w:p>
        </w:tc>
        <w:tc>
          <w:tcPr>
            <w:tcW w:type="dxa" w:w="1080"/>
            <w:vAlign w:val="center"/>
          </w:tcPr>
          <w:p>
            <w:pPr>
              <w:spacing w:after="20"/>
            </w:pPr>
            <w:r/>
            <w:r>
              <w:rPr>
                <w:rFonts w:ascii="Arial" w:hAnsi="Arial" w:eastAsia="Arial"/>
                <w:b w:val="0"/>
                <w:sz w:val="15"/>
              </w:rPr>
              <w:t>Won’t have this time</w:t>
            </w:r>
          </w:p>
        </w:tc>
        <w:tc>
          <w:tcPr>
            <w:tcW w:type="dxa" w:w="5184"/>
            <w:vAlign w:val="center"/>
          </w:tcPr>
          <w:p>
            <w:pPr>
              <w:spacing w:after="20"/>
            </w:pPr>
            <w:r/>
            <w:r>
              <w:rPr>
                <w:rFonts w:ascii="Arial" w:hAnsi="Arial" w:eastAsia="Arial"/>
                <w:b w:val="0"/>
                <w:sz w:val="15"/>
              </w:rPr>
              <w:t>Mở rộng phạm vi, cần thêm quy tắc và dữ liệu; không cần để chứng minh luồng Loyalty cơ bản trong 8 tuần.</w:t>
            </w:r>
          </w:p>
        </w:tc>
        <w:tc>
          <w:tcPr>
            <w:tcW w:type="dxa" w:w="1440"/>
            <w:vAlign w:val="center"/>
          </w:tcPr>
          <w:p>
            <w:pPr>
              <w:spacing w:after="20"/>
            </w:pPr>
            <w:r/>
            <w:r>
              <w:rPr>
                <w:rFonts w:ascii="Arial" w:hAnsi="Arial" w:eastAsia="Arial"/>
                <w:b w:val="0"/>
                <w:sz w:val="15"/>
              </w:rPr>
              <w:t>Ngoài 8 tuần</w:t>
            </w:r>
          </w:p>
        </w:tc>
      </w:tr>
    </w:tbl>
    <w:p>
      <w:pPr>
        <w:spacing w:after="20"/>
      </w:pPr>
    </w:p>
    <w:p>
      <w:pPr>
        <w:pStyle w:val="Heading2"/>
      </w:pPr>
      <w:r>
        <w:t>B3. Danh sách Sprint 1</w:t>
      </w:r>
    </w:p>
    <w:p>
      <w:r>
        <w:t>Sprint Goal: “Khách hàng có thể nhận và sử dụng điểm đúng quy tắc, trong khi số dư không bị sai lệch bởi đơn hủy/hoàn hoặc điểm hết hạn.”</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shd w:fill="176B4D"/>
          </w:tcPr>
          <w:p>
            <w:pPr>
              <w:spacing w:after="20"/>
            </w:pPr>
            <w:r/>
            <w:r>
              <w:rPr>
                <w:rFonts w:ascii="Arial" w:hAnsi="Arial" w:eastAsia="Arial"/>
                <w:b/>
                <w:color w:val="FFFFFF"/>
                <w:sz w:val="16"/>
              </w:rPr>
              <w:t>Hạng mục</w:t>
            </w:r>
          </w:p>
        </w:tc>
        <w:tc>
          <w:tcPr>
            <w:tcW w:type="dxa" w:w="2088"/>
            <w:vAlign w:val="center"/>
            <w:shd w:fill="176B4D"/>
          </w:tcPr>
          <w:p>
            <w:pPr>
              <w:spacing w:after="20"/>
            </w:pPr>
            <w:r/>
            <w:r>
              <w:rPr>
                <w:rFonts w:ascii="Arial" w:hAnsi="Arial" w:eastAsia="Arial"/>
                <w:b/>
                <w:color w:val="FFFFFF"/>
                <w:sz w:val="16"/>
              </w:rPr>
              <w:t>Cam kết Sprint 1</w:t>
            </w:r>
          </w:p>
        </w:tc>
        <w:tc>
          <w:tcPr>
            <w:tcW w:type="dxa" w:w="6480"/>
            <w:vAlign w:val="center"/>
            <w:shd w:fill="176B4D"/>
          </w:tcPr>
          <w:p>
            <w:pPr>
              <w:spacing w:after="20"/>
            </w:pPr>
            <w:r/>
            <w:r>
              <w:rPr>
                <w:rFonts w:ascii="Arial" w:hAnsi="Arial" w:eastAsia="Arial"/>
                <w:b/>
                <w:color w:val="FFFFFF"/>
                <w:sz w:val="16"/>
              </w:rPr>
              <w:t>Điều kiện / lưu ý</w:t>
            </w:r>
          </w:p>
        </w:tc>
      </w:tr>
      <w:tr>
        <w:tc>
          <w:tcPr>
            <w:tcW w:type="dxa" w:w="2448"/>
            <w:vAlign w:val="center"/>
          </w:tcPr>
          <w:p>
            <w:pPr>
              <w:spacing w:after="20"/>
            </w:pPr>
            <w:r/>
            <w:r>
              <w:rPr>
                <w:rFonts w:ascii="Arial" w:hAnsi="Arial" w:eastAsia="Arial"/>
                <w:b w:val="0"/>
                <w:sz w:val="16"/>
              </w:rPr>
              <w:t>PB-01 — Tích điểm sau đơn thành công</w:t>
            </w:r>
          </w:p>
        </w:tc>
        <w:tc>
          <w:tcPr>
            <w:tcW w:type="dxa" w:w="2088"/>
            <w:vAlign w:val="center"/>
          </w:tcPr>
          <w:p>
            <w:pPr>
              <w:spacing w:after="20"/>
            </w:pPr>
            <w:r/>
            <w:r>
              <w:rPr>
                <w:rFonts w:ascii="Arial" w:hAnsi="Arial" w:eastAsia="Arial"/>
                <w:b w:val="0"/>
                <w:sz w:val="16"/>
              </w:rPr>
              <w:t>Có</w:t>
            </w:r>
          </w:p>
        </w:tc>
        <w:tc>
          <w:tcPr>
            <w:tcW w:type="dxa" w:w="6480"/>
            <w:vAlign w:val="center"/>
          </w:tcPr>
          <w:p>
            <w:pPr>
              <w:spacing w:after="20"/>
            </w:pPr>
            <w:r/>
            <w:r>
              <w:rPr>
                <w:rFonts w:ascii="Arial" w:hAnsi="Arial" w:eastAsia="Arial"/>
                <w:b w:val="0"/>
                <w:sz w:val="16"/>
              </w:rPr>
              <w:t>10.000đ giá trị đủ điều kiện = 1 điểm; chỉ xử lý đơn thành công; chống ghi nhận trùng sự kiện thanh toán.</w:t>
            </w:r>
          </w:p>
        </w:tc>
      </w:tr>
      <w:tr>
        <w:tc>
          <w:tcPr>
            <w:tcW w:type="dxa" w:w="2448"/>
            <w:vAlign w:val="center"/>
          </w:tcPr>
          <w:p>
            <w:pPr>
              <w:spacing w:after="20"/>
            </w:pPr>
            <w:r/>
            <w:r>
              <w:rPr>
                <w:rFonts w:ascii="Arial" w:hAnsi="Arial" w:eastAsia="Arial"/>
                <w:b w:val="0"/>
                <w:sz w:val="16"/>
              </w:rPr>
              <w:t>PB-02 — Thu hồi điểm khi hủy/hoàn</w:t>
            </w:r>
          </w:p>
        </w:tc>
        <w:tc>
          <w:tcPr>
            <w:tcW w:type="dxa" w:w="2088"/>
            <w:vAlign w:val="center"/>
          </w:tcPr>
          <w:p>
            <w:pPr>
              <w:spacing w:after="20"/>
            </w:pPr>
            <w:r/>
            <w:r>
              <w:rPr>
                <w:rFonts w:ascii="Arial" w:hAnsi="Arial" w:eastAsia="Arial"/>
                <w:b w:val="0"/>
                <w:sz w:val="16"/>
              </w:rPr>
              <w:t>Có</w:t>
            </w:r>
          </w:p>
        </w:tc>
        <w:tc>
          <w:tcPr>
            <w:tcW w:type="dxa" w:w="6480"/>
            <w:vAlign w:val="center"/>
          </w:tcPr>
          <w:p>
            <w:pPr>
              <w:spacing w:after="20"/>
            </w:pPr>
            <w:r/>
            <w:r>
              <w:rPr>
                <w:rFonts w:ascii="Arial" w:hAnsi="Arial" w:eastAsia="Arial"/>
                <w:b w:val="0"/>
                <w:sz w:val="16"/>
              </w:rPr>
              <w:t>Tạo giao dịch điều chỉnh có liên kết giao dịch gốc; không cho số dư âm do xử lý lặp.</w:t>
            </w:r>
          </w:p>
        </w:tc>
      </w:tr>
      <w:tr>
        <w:tc>
          <w:tcPr>
            <w:tcW w:type="dxa" w:w="2448"/>
            <w:vAlign w:val="center"/>
          </w:tcPr>
          <w:p>
            <w:pPr>
              <w:spacing w:after="20"/>
            </w:pPr>
            <w:r/>
            <w:r>
              <w:rPr>
                <w:rFonts w:ascii="Arial" w:hAnsi="Arial" w:eastAsia="Arial"/>
                <w:b w:val="0"/>
                <w:sz w:val="16"/>
              </w:rPr>
              <w:t>PB-03 — Xem số dư điểm</w:t>
            </w:r>
          </w:p>
        </w:tc>
        <w:tc>
          <w:tcPr>
            <w:tcW w:type="dxa" w:w="2088"/>
            <w:vAlign w:val="center"/>
          </w:tcPr>
          <w:p>
            <w:pPr>
              <w:spacing w:after="20"/>
            </w:pPr>
            <w:r/>
            <w:r>
              <w:rPr>
                <w:rFonts w:ascii="Arial" w:hAnsi="Arial" w:eastAsia="Arial"/>
                <w:b w:val="0"/>
                <w:sz w:val="16"/>
              </w:rPr>
              <w:t>Có</w:t>
            </w:r>
          </w:p>
        </w:tc>
        <w:tc>
          <w:tcPr>
            <w:tcW w:type="dxa" w:w="6480"/>
            <w:vAlign w:val="center"/>
          </w:tcPr>
          <w:p>
            <w:pPr>
              <w:spacing w:after="20"/>
            </w:pPr>
            <w:r/>
            <w:r>
              <w:rPr>
                <w:rFonts w:ascii="Arial" w:hAnsi="Arial" w:eastAsia="Arial"/>
                <w:b w:val="0"/>
                <w:sz w:val="16"/>
              </w:rPr>
              <w:t>Số dư hiển thị phản ánh điểm còn hiệu lực sau các giao dịch đã ghi nhận.</w:t>
            </w:r>
          </w:p>
        </w:tc>
      </w:tr>
      <w:tr>
        <w:tc>
          <w:tcPr>
            <w:tcW w:type="dxa" w:w="2448"/>
            <w:vAlign w:val="center"/>
          </w:tcPr>
          <w:p>
            <w:pPr>
              <w:spacing w:after="20"/>
            </w:pPr>
            <w:r/>
            <w:r>
              <w:rPr>
                <w:rFonts w:ascii="Arial" w:hAnsi="Arial" w:eastAsia="Arial"/>
                <w:b w:val="0"/>
                <w:sz w:val="16"/>
              </w:rPr>
              <w:t>PB-04 — Đổi điểm lấy ưu đãi</w:t>
            </w:r>
          </w:p>
        </w:tc>
        <w:tc>
          <w:tcPr>
            <w:tcW w:type="dxa" w:w="2088"/>
            <w:vAlign w:val="center"/>
          </w:tcPr>
          <w:p>
            <w:pPr>
              <w:spacing w:after="20"/>
            </w:pPr>
            <w:r/>
            <w:r>
              <w:rPr>
                <w:rFonts w:ascii="Arial" w:hAnsi="Arial" w:eastAsia="Arial"/>
                <w:b w:val="0"/>
                <w:sz w:val="16"/>
              </w:rPr>
              <w:t>Có</w:t>
            </w:r>
          </w:p>
        </w:tc>
        <w:tc>
          <w:tcPr>
            <w:tcW w:type="dxa" w:w="6480"/>
            <w:vAlign w:val="center"/>
          </w:tcPr>
          <w:p>
            <w:pPr>
              <w:spacing w:after="20"/>
            </w:pPr>
            <w:r/>
            <w:r>
              <w:rPr>
                <w:rFonts w:ascii="Arial" w:hAnsi="Arial" w:eastAsia="Arial"/>
                <w:b w:val="0"/>
                <w:sz w:val="16"/>
              </w:rPr>
              <w:t>Kiểm tra số dư và tính nguyên tử; tỷ lệ ban đầu 100 điểm = 20.000đ; ưu đãi không cộng dồn trừ khi hệ thống xác nhận.</w:t>
            </w:r>
          </w:p>
        </w:tc>
      </w:tr>
      <w:tr>
        <w:tc>
          <w:tcPr>
            <w:tcW w:type="dxa" w:w="2448"/>
            <w:vAlign w:val="center"/>
          </w:tcPr>
          <w:p>
            <w:pPr>
              <w:spacing w:after="20"/>
            </w:pPr>
            <w:r/>
            <w:r>
              <w:rPr>
                <w:rFonts w:ascii="Arial" w:hAnsi="Arial" w:eastAsia="Arial"/>
                <w:b w:val="0"/>
                <w:sz w:val="16"/>
              </w:rPr>
              <w:t>PB-07 — Hết hạn sau 12 tháng</w:t>
            </w:r>
          </w:p>
        </w:tc>
        <w:tc>
          <w:tcPr>
            <w:tcW w:type="dxa" w:w="2088"/>
            <w:vAlign w:val="center"/>
          </w:tcPr>
          <w:p>
            <w:pPr>
              <w:spacing w:after="20"/>
            </w:pPr>
            <w:r/>
            <w:r>
              <w:rPr>
                <w:rFonts w:ascii="Arial" w:hAnsi="Arial" w:eastAsia="Arial"/>
                <w:b w:val="0"/>
                <w:sz w:val="16"/>
              </w:rPr>
              <w:t>Có — phần nền tảng tối thiểu</w:t>
            </w:r>
          </w:p>
        </w:tc>
        <w:tc>
          <w:tcPr>
            <w:tcW w:type="dxa" w:w="6480"/>
            <w:vAlign w:val="center"/>
          </w:tcPr>
          <w:p>
            <w:pPr>
              <w:spacing w:after="20"/>
            </w:pPr>
            <w:r/>
            <w:r>
              <w:rPr>
                <w:rFonts w:ascii="Arial" w:hAnsi="Arial" w:eastAsia="Arial"/>
                <w:b w:val="0"/>
                <w:sz w:val="16"/>
              </w:rPr>
              <w:t>Mỗi lô điểm có thời điểm hết hạn; điểm hết hạn không được dùng; tác vụ tự động trừ/đánh dấu hết hạn có log và kiểm thử.</w:t>
            </w:r>
          </w:p>
        </w:tc>
      </w:tr>
      <w:tr>
        <w:tc>
          <w:tcPr>
            <w:tcW w:type="dxa" w:w="2448"/>
            <w:vAlign w:val="center"/>
          </w:tcPr>
          <w:p>
            <w:pPr>
              <w:spacing w:after="20"/>
            </w:pPr>
            <w:r/>
            <w:r>
              <w:rPr>
                <w:rFonts w:ascii="Arial" w:hAnsi="Arial" w:eastAsia="Arial"/>
                <w:b w:val="0"/>
                <w:sz w:val="16"/>
              </w:rPr>
              <w:t>PB-05 — Lịch sử giao dịch</w:t>
            </w:r>
          </w:p>
        </w:tc>
        <w:tc>
          <w:tcPr>
            <w:tcW w:type="dxa" w:w="2088"/>
            <w:vAlign w:val="center"/>
          </w:tcPr>
          <w:p>
            <w:pPr>
              <w:spacing w:after="20"/>
            </w:pPr>
            <w:r/>
            <w:r>
              <w:rPr>
                <w:rFonts w:ascii="Arial" w:hAnsi="Arial" w:eastAsia="Arial"/>
                <w:b w:val="0"/>
                <w:sz w:val="16"/>
              </w:rPr>
              <w:t>Không đưa vào Sprint 1</w:t>
            </w:r>
          </w:p>
        </w:tc>
        <w:tc>
          <w:tcPr>
            <w:tcW w:type="dxa" w:w="6480"/>
            <w:vAlign w:val="center"/>
          </w:tcPr>
          <w:p>
            <w:pPr>
              <w:spacing w:after="20"/>
            </w:pPr>
            <w:r/>
            <w:r>
              <w:rPr>
                <w:rFonts w:ascii="Arial" w:hAnsi="Arial" w:eastAsia="Arial"/>
                <w:b w:val="0"/>
                <w:sz w:val="16"/>
              </w:rPr>
              <w:t>Xếp Should; thực hiện ở Sprint 2 nếu được ưu tiên.</w:t>
            </w:r>
          </w:p>
        </w:tc>
      </w:tr>
      <w:tr>
        <w:tc>
          <w:tcPr>
            <w:tcW w:type="dxa" w:w="2448"/>
            <w:vAlign w:val="center"/>
          </w:tcPr>
          <w:p>
            <w:pPr>
              <w:spacing w:after="20"/>
            </w:pPr>
            <w:r/>
            <w:r>
              <w:rPr>
                <w:rFonts w:ascii="Arial" w:hAnsi="Arial" w:eastAsia="Arial"/>
                <w:b w:val="0"/>
                <w:sz w:val="16"/>
              </w:rPr>
              <w:t>PB-06 — Thông báo sắp hết hạn</w:t>
            </w:r>
          </w:p>
        </w:tc>
        <w:tc>
          <w:tcPr>
            <w:tcW w:type="dxa" w:w="2088"/>
            <w:vAlign w:val="center"/>
          </w:tcPr>
          <w:p>
            <w:pPr>
              <w:spacing w:after="20"/>
            </w:pPr>
            <w:r/>
            <w:r>
              <w:rPr>
                <w:rFonts w:ascii="Arial" w:hAnsi="Arial" w:eastAsia="Arial"/>
                <w:b w:val="0"/>
                <w:sz w:val="16"/>
              </w:rPr>
              <w:t>Không đưa vào Sprint 1</w:t>
            </w:r>
          </w:p>
        </w:tc>
        <w:tc>
          <w:tcPr>
            <w:tcW w:type="dxa" w:w="6480"/>
            <w:vAlign w:val="center"/>
          </w:tcPr>
          <w:p>
            <w:pPr>
              <w:spacing w:after="20"/>
            </w:pPr>
            <w:r/>
            <w:r>
              <w:rPr>
                <w:rFonts w:ascii="Arial" w:hAnsi="Arial" w:eastAsia="Arial"/>
                <w:b w:val="0"/>
                <w:sz w:val="16"/>
              </w:rPr>
              <w:t>Xếp Should; thực hiện sau luồng cốt lõi.</w:t>
            </w:r>
          </w:p>
        </w:tc>
      </w:tr>
    </w:tbl>
    <w:p>
      <w:pPr>
        <w:spacing w:after="20"/>
      </w:pPr>
    </w:p>
    <w:p>
      <w:r>
        <w:t>Kiểm soát năng lực: Sprint 1 nhận 5 hạng mục Must, không nhận thêm hạng mục Should nào, do đó tuân thủ giới hạn “toàn bộ Must và tối đa 2 Should”. PO và Developers xác nhận ước lượng/khả năng hoàn thành trong Sprint Planning; nếu năng lực thực tế không đủ, ưu tiên giữ Sprint Goal và thương lượng phạm vi với PO, không hạ chuẩn chất lượng.</w:t>
      </w:r>
    </w:p>
    <w:p>
      <w:pPr>
        <w:pStyle w:val="Heading1"/>
      </w:pPr>
      <w:r>
        <w:t>PHẦN C — ACCEPTANCE CRITERIA &amp; DEFINITION OF DONE</w:t>
      </w:r>
    </w:p>
    <w:p>
      <w:pPr>
        <w:pStyle w:val="Heading2"/>
      </w:pPr>
      <w:r>
        <w:t>C1. Hạng mục được chọn: PB-01 — Tích điểm sau đơn hàng thành công</w:t>
      </w:r>
    </w:p>
    <w:p>
      <w:r>
        <w:t>Mục tiêu: tính và ghi nhận điểm một cách chính xác, chỉ cho đơn đủ điều kiện, đồng thời bảo đảm tính nhất quán khi nhận sự kiện lặp hoặc đơn bị hủy/hoàn.</w:t>
      </w:r>
    </w:p>
    <w:p>
      <w:pPr>
        <w:pStyle w:val="Heading2"/>
      </w:pPr>
      <w:r>
        <w:t>Acceptance Criteria (Given–When–Then)</w:t>
      </w:r>
    </w:p>
    <w:p>
      <w:pPr>
        <w:pStyle w:val="Heading3"/>
      </w:pPr>
      <w:r>
        <w:t>AC-01 — Đơn hàng thành công được tích điểm</w:t>
      </w:r>
    </w:p>
    <w:p>
      <w:pPr>
        <w:pStyle w:val="ListBullet"/>
        <w:spacing w:after="40"/>
      </w:pPr>
      <w:r>
        <w:t>Given khách hàng có đơn hàng đã được xác nhận thanh toán thành công với giá trị đủ điều kiện là 250.000đ và chưa có giao dịch tích điểm cho đơn đó,</w:t>
      </w:r>
    </w:p>
    <w:p>
      <w:pPr>
        <w:pStyle w:val="ListBullet"/>
        <w:spacing w:after="40"/>
      </w:pPr>
      <w:r>
        <w:t>When hệ thống nhận và xử lý sự kiện đơn hàng thành công,</w:t>
      </w:r>
    </w:p>
    <w:p>
      <w:pPr>
        <w:pStyle w:val="ListBullet"/>
        <w:spacing w:after="40"/>
      </w:pPr>
      <w:r>
        <w:t>Then hệ thống ghi nhận 25 điểm cho khách hàng, lưu mã đơn hàng và mã giao dịch tham chiếu, đồng thời cập nhật số dư điểm.</w:t>
      </w:r>
    </w:p>
    <w:p>
      <w:pPr>
        <w:pStyle w:val="Heading3"/>
      </w:pPr>
      <w:r>
        <w:t>AC-02 — Đơn hàng chưa thành công không được tích điểm</w:t>
      </w:r>
    </w:p>
    <w:p>
      <w:pPr>
        <w:pStyle w:val="ListBullet"/>
        <w:spacing w:after="40"/>
      </w:pPr>
      <w:r>
        <w:t>Given đơn hàng đang ở trạng thái chờ thanh toán hoặc thanh toán thất bại,</w:t>
      </w:r>
    </w:p>
    <w:p>
      <w:pPr>
        <w:pStyle w:val="ListBullet"/>
        <w:spacing w:after="40"/>
      </w:pPr>
      <w:r>
        <w:t>When hệ thống nhận sự kiện cập nhật trạng thái đơn hàng,</w:t>
      </w:r>
    </w:p>
    <w:p>
      <w:pPr>
        <w:pStyle w:val="ListBullet"/>
        <w:spacing w:after="40"/>
      </w:pPr>
      <w:r>
        <w:t>Then hệ thống không ghi nhận điểm và số dư điểm của khách hàng không thay đổi.</w:t>
      </w:r>
    </w:p>
    <w:p>
      <w:pPr>
        <w:pStyle w:val="Heading3"/>
      </w:pPr>
      <w:r>
        <w:t>AC-03 — Ngoại lệ: sự kiện thành công bị gửi lặp</w:t>
      </w:r>
    </w:p>
    <w:p>
      <w:pPr>
        <w:pStyle w:val="ListBullet"/>
        <w:spacing w:after="40"/>
      </w:pPr>
      <w:r>
        <w:t>Given đơn hàng đã được ghi nhận tích 25 điểm từ một sự kiện thanh toán thành công trước đó,</w:t>
      </w:r>
    </w:p>
    <w:p>
      <w:pPr>
        <w:pStyle w:val="ListBullet"/>
        <w:spacing w:after="40"/>
      </w:pPr>
      <w:r>
        <w:t>When hệ thống nhận lại cùng sự kiện hoặc thông điệp trùng mã đơn hàng/mã sự kiện,</w:t>
      </w:r>
    </w:p>
    <w:p>
      <w:pPr>
        <w:pStyle w:val="ListBullet"/>
        <w:spacing w:after="40"/>
      </w:pPr>
      <w:r>
        <w:t>Then hệ thống không cộng thêm điểm lần thứ hai, giữ nguyên số dư và ghi log để có thể truy vết.</w:t>
      </w:r>
    </w:p>
    <w:p>
      <w:pPr>
        <w:pStyle w:val="Heading3"/>
      </w:pPr>
      <w:r>
        <w:t>AC-04 — Ngoại lệ: đơn bị hủy/hoàn sau khi đã tích điểm</w:t>
      </w:r>
    </w:p>
    <w:p>
      <w:pPr>
        <w:pStyle w:val="ListBullet"/>
        <w:spacing w:after="40"/>
      </w:pPr>
      <w:r>
        <w:t>Given đơn hàng đã tích 25 điểm và sau đó chuyển sang trạng thái hủy/hoàn hợp lệ,</w:t>
      </w:r>
    </w:p>
    <w:p>
      <w:pPr>
        <w:pStyle w:val="ListBullet"/>
        <w:spacing w:after="40"/>
      </w:pPr>
      <w:r>
        <w:t>When hệ thống xử lý sự kiện hủy/hoàn,</w:t>
      </w:r>
    </w:p>
    <w:p>
      <w:pPr>
        <w:pStyle w:val="ListBullet"/>
        <w:spacing w:after="40"/>
      </w:pPr>
      <w:r>
        <w:t>Then hệ thống tạo giao dịch thu hồi tương ứng 25 điểm (hoặc phần điểm tương ứng với giá trị hoàn), liên kết giao dịch gốc và không để cùng một yêu cầu thu hồi được áp dụng hai lần.</w:t>
      </w:r>
    </w:p>
    <w:p>
      <w:pPr>
        <w:pStyle w:val="Heading2"/>
      </w:pPr>
      <w:r>
        <w:t>C2. Definition of Done (DoD) — áp dụng chung Sprint 1</w:t>
      </w:r>
    </w:p>
    <w:p>
      <w:r>
        <w:t>Một hạng mục chỉ được xem là Done khi đáp ứng tất cả tiêu chí chung sau; DoD không thay thế Acceptance Criteria riêng của từng hạng mục.</w:t>
      </w:r>
    </w:p>
    <w:p>
      <w:pPr>
        <w:pStyle w:val="ListBullet"/>
        <w:spacing w:after="40"/>
      </w:pPr>
      <w:r>
        <w:t>Code đã được peer review, tuân thủ quy ước lập trình và được hợp nhất vào nhánh tích hợp theo quy trình của đội.</w:t>
      </w:r>
    </w:p>
    <w:p>
      <w:pPr>
        <w:pStyle w:val="ListBullet"/>
        <w:spacing w:after="40"/>
      </w:pPr>
      <w:r>
        <w:t>Kiểm thử tự động phù hợp (unit/integration) đã chạy thành công trong pipeline; không còn lỗi nghiêm trọng hoặc lỗi mức cao chưa có phương án xử lý được PO chấp thuận.</w:t>
      </w:r>
    </w:p>
    <w:p>
      <w:pPr>
        <w:pStyle w:val="ListBullet"/>
        <w:spacing w:after="40"/>
      </w:pPr>
      <w:r>
        <w:t>Kiểm thử hồi quy các luồng liên quan đã hoàn tất trên môi trường kiểm thử; bằng chứng kiểm thử và kết quả được lưu lại.</w:t>
      </w:r>
    </w:p>
    <w:p>
      <w:pPr>
        <w:pStyle w:val="ListBullet"/>
        <w:spacing w:after="40"/>
      </w:pPr>
      <w:r>
        <w:t>Các log, mã tham chiếu và xử lý lỗi cần thiết được kiểm tra; không ghi lộ dữ liệu cá nhân hoặc thông tin nhạy cảm vào log.</w:t>
      </w:r>
    </w:p>
    <w:p>
      <w:pPr>
        <w:pStyle w:val="ListBullet"/>
        <w:spacing w:after="40"/>
      </w:pPr>
      <w:r>
        <w:t>Tài liệu kỹ thuật/nghiệp vụ liên quan được cập nhật; hướng dẫn vận hành hoặc ghi chú phát hành được chuẩn bị khi hạng mục có ảnh hưởng vận hành.</w:t>
      </w:r>
    </w:p>
    <w:p>
      <w:pPr>
        <w:pStyle w:val="ListBullet"/>
        <w:spacing w:after="40"/>
      </w:pPr>
      <w:r>
        <w:t>Increment được tích hợp, có thể trình diễn trên môi trường phù hợp và đáp ứng tiêu chuẩn chất lượng đã thống nhất của đội.</w:t>
      </w:r>
    </w:p>
    <w:p>
      <w:pPr>
        <w:pStyle w:val="Heading1"/>
      </w:pPr>
      <w:r>
        <w:t>PHẦN D — XỬ LÝ TÌNH HUỐNG THAY ĐỔI GIỮA SPRINT</w:t>
      </w:r>
    </w:p>
    <w:p>
      <w:pPr>
        <w:pStyle w:val="Heading2"/>
      </w:pPr>
      <w:r>
        <w:t>D1. Yêu cầu Marketing</w:t>
      </w:r>
    </w:p>
    <w:p>
      <w:r>
        <w:t>Giữa Sprint 1, Marketing yêu cầu đổi tỷ lệ quy đổi từ 100 điểm = 20.000đ sang 100 điểm = 25.000đ ngay lập tức để chạy khuyến mãi. Đây là thay đổi quy tắc nghiệp vụ có tác động trực tiếp tới giá trị ưu đãi, kiểm thử và truyền thông khách hàng.</w:t>
      </w:r>
    </w:p>
    <w:p>
      <w:pPr>
        <w:pStyle w:val="Heading2"/>
      </w:pPr>
      <w:r>
        <w:t>D2. Quy trình tiếp nhận mà không phá vỡ Sprint</w:t>
      </w:r>
    </w:p>
    <w:p>
      <w:pPr>
        <w:pStyle w:val="ListNumber"/>
        <w:spacing w:after="40"/>
      </w:pPr>
      <w:r>
        <w:t>Ghi nhận yêu cầu thành một Product Backlog Item mới hoặc cập nhật PBI liên quan; mô tả lý do, thời điểm cần hiệu lực, phạm vi khách hàng/đơn hàng, rủi ro và tiêu chí chấp nhận.</w:t>
      </w:r>
    </w:p>
    <w:p>
      <w:pPr>
        <w:pStyle w:val="ListNumber"/>
        <w:spacing w:after="40"/>
      </w:pPr>
      <w:r>
        <w:t>Product Owner trao đổi với Marketing, Kế toán và Developers để làm rõ tác động, tính khẩn cấp, khả năng cấu hình, dữ liệu giao dịch cũ và cách truyền thông; sau đó sắp xếp lại Product Backlog theo giá trị và rủi ro.</w:t>
      </w:r>
    </w:p>
    <w:p>
      <w:pPr>
        <w:pStyle w:val="ListNumber"/>
        <w:spacing w:after="40"/>
      </w:pPr>
      <w:r>
        <w:t>Giữ ổn định Sprint Goal và không tự ý chèn việc vào Sprint Backlog. Developers tiếp tục kế hoạch Sprint 1 đã thống nhất; PO có thể thương lượng lại phạm vi với Developers nếu có thay đổi được đồng thuận mà vẫn bảo vệ Sprint Goal.</w:t>
      </w:r>
    </w:p>
    <w:p>
      <w:pPr>
        <w:pStyle w:val="ListNumber"/>
        <w:spacing w:after="40"/>
      </w:pPr>
      <w:r>
        <w:t>Nếu thay đổi khiến Sprint Goal không còn phù hợp, chỉ Product Owner mới có quyền hủy Sprint; việc hủy là ngoại lệ, không dùng chỉ để né quản lý thay đổi. Nếu không cần hiệu lực ngay, đưa thay đổi vào Sprint tiếp theo.</w:t>
      </w:r>
    </w:p>
    <w:p>
      <w:pPr>
        <w:pStyle w:val="ListNumber"/>
        <w:spacing w:after="40"/>
      </w:pPr>
      <w:r>
        <w:t>Nếu doanh nghiệp bắt buộc áp dụng ngay, PO đánh giá liệu có thể triển khai cấu hình có kiểm soát mà không làm mất Sprint Goal; nếu cần tái lập kế hoạch đáng kể, thống nhất phạm vi mới với Developers hoặc cân nhắc hủy Sprint theo quy tắc Scrum. Không âm thầm đổi tỷ lệ trong code hoặc thay đổi tiêu chí giữa lúc kiểm thử.</w:t>
      </w:r>
    </w:p>
    <w:p>
      <w:pPr>
        <w:pStyle w:val="Heading2"/>
      </w:pPr>
      <w:r>
        <w:t>D3. Tác động tới Product Backlog, AC và DoD</w:t>
      </w:r>
    </w:p>
    <w:tbl>
      <w:tblPr>
        <w:tblStyle w:val="TableGrid"/>
        <w:tblW w:type="auto" w:w="0"/>
        <w:jc w:val="center"/>
        <w:tblLayout w:type="fixed"/>
        <w:tblLook w:firstColumn="1" w:firstRow="1" w:lastColumn="0" w:lastRow="0" w:noHBand="0" w:noVBand="1" w:val="04A0"/>
      </w:tblPr>
      <w:tblGrid>
        <w:gridCol w:w="5112"/>
        <w:gridCol w:w="5112"/>
      </w:tblGrid>
      <w:tr>
        <w:tc>
          <w:tcPr>
            <w:tcW w:type="dxa" w:w="2232"/>
            <w:vAlign w:val="center"/>
            <w:shd w:fill="176B4D"/>
          </w:tcPr>
          <w:p>
            <w:pPr>
              <w:spacing w:after="20"/>
            </w:pPr>
            <w:r/>
            <w:r>
              <w:rPr>
                <w:rFonts w:ascii="Arial" w:hAnsi="Arial" w:eastAsia="Arial"/>
                <w:b/>
                <w:color w:val="FFFFFF"/>
                <w:sz w:val="16"/>
              </w:rPr>
              <w:t>Thành phần</w:t>
            </w:r>
          </w:p>
        </w:tc>
        <w:tc>
          <w:tcPr>
            <w:tcW w:type="dxa" w:w="8640"/>
            <w:vAlign w:val="center"/>
            <w:shd w:fill="176B4D"/>
          </w:tcPr>
          <w:p>
            <w:pPr>
              <w:spacing w:after="20"/>
            </w:pPr>
            <w:r/>
            <w:r>
              <w:rPr>
                <w:rFonts w:ascii="Arial" w:hAnsi="Arial" w:eastAsia="Arial"/>
                <w:b/>
                <w:color w:val="FFFFFF"/>
                <w:sz w:val="16"/>
              </w:rPr>
              <w:t>Cập nhật cần thiết</w:t>
            </w:r>
          </w:p>
        </w:tc>
      </w:tr>
      <w:tr>
        <w:tc>
          <w:tcPr>
            <w:tcW w:type="dxa" w:w="2232"/>
            <w:vAlign w:val="center"/>
          </w:tcPr>
          <w:p>
            <w:pPr>
              <w:spacing w:after="20"/>
            </w:pPr>
            <w:r/>
            <w:r>
              <w:rPr>
                <w:rFonts w:ascii="Arial" w:hAnsi="Arial" w:eastAsia="Arial"/>
                <w:b w:val="0"/>
                <w:sz w:val="16"/>
              </w:rPr>
              <w:t>Product Backlog (Phần B)</w:t>
            </w:r>
          </w:p>
        </w:tc>
        <w:tc>
          <w:tcPr>
            <w:tcW w:type="dxa" w:w="8640"/>
            <w:vAlign w:val="center"/>
          </w:tcPr>
          <w:p>
            <w:pPr>
              <w:spacing w:after="20"/>
            </w:pPr>
            <w:r/>
            <w:r>
              <w:rPr>
                <w:rFonts w:ascii="Arial" w:hAnsi="Arial" w:eastAsia="Arial"/>
                <w:b w:val="0"/>
                <w:sz w:val="16"/>
              </w:rPr>
              <w:t>Cập nhật PB-04 (đổi điểm) với tỷ lệ mới, thời điểm hiệu lực, phạm vi áp dụng, quy tắc phiên bản và cách xử lý giao dịch đang diễn ra. Bổ sung/ưu tiên PBI cấu hình tỷ lệ có hiệu lực theo thời gian (PB-08) nếu yêu cầu thay đổi thường xuyên; PO đánh giá lại MoSCoW dựa trên tính khẩn cấp và rủi ro.</w:t>
            </w:r>
          </w:p>
        </w:tc>
      </w:tr>
      <w:tr>
        <w:tc>
          <w:tcPr>
            <w:tcW w:type="dxa" w:w="2232"/>
            <w:vAlign w:val="center"/>
          </w:tcPr>
          <w:p>
            <w:pPr>
              <w:spacing w:after="20"/>
            </w:pPr>
            <w:r/>
            <w:r>
              <w:rPr>
                <w:rFonts w:ascii="Arial" w:hAnsi="Arial" w:eastAsia="Arial"/>
                <w:b w:val="0"/>
                <w:sz w:val="16"/>
              </w:rPr>
              <w:t>Acceptance Criteria (Phần C)</w:t>
            </w:r>
          </w:p>
        </w:tc>
        <w:tc>
          <w:tcPr>
            <w:tcW w:type="dxa" w:w="8640"/>
            <w:vAlign w:val="center"/>
          </w:tcPr>
          <w:p>
            <w:pPr>
              <w:spacing w:after="20"/>
            </w:pPr>
            <w:r/>
            <w:r>
              <w:rPr>
                <w:rFonts w:ascii="Arial" w:hAnsi="Arial" w:eastAsia="Arial"/>
                <w:b w:val="0"/>
                <w:sz w:val="16"/>
              </w:rPr>
              <w:t>AC của PB-01 về tích điểm không đổi nếu tỷ lệ tích điểm 10.000đ = 1 điểm không thay đổi. Cần bổ sung/cập nhật AC cho PB-04: 100 điểm = 25.000đ từ thời điểm hiệu lực; trước thời điểm đó giao dịch tuân theo tỷ lệ cũ; không hồi tố giao dịch đã đổi trừ khi có quyết định nghiệp vụ riêng; kiểm thử biên số dư, đổi điểm đồng thời và chống áp dụng ưu đãi kép.</w:t>
            </w:r>
          </w:p>
        </w:tc>
      </w:tr>
      <w:tr>
        <w:tc>
          <w:tcPr>
            <w:tcW w:type="dxa" w:w="2232"/>
            <w:vAlign w:val="center"/>
          </w:tcPr>
          <w:p>
            <w:pPr>
              <w:spacing w:after="20"/>
            </w:pPr>
            <w:r/>
            <w:r>
              <w:rPr>
                <w:rFonts w:ascii="Arial" w:hAnsi="Arial" w:eastAsia="Arial"/>
                <w:b w:val="0"/>
                <w:sz w:val="16"/>
              </w:rPr>
              <w:t>Definition of Done (Phần C)</w:t>
            </w:r>
          </w:p>
        </w:tc>
        <w:tc>
          <w:tcPr>
            <w:tcW w:type="dxa" w:w="8640"/>
            <w:vAlign w:val="center"/>
          </w:tcPr>
          <w:p>
            <w:pPr>
              <w:spacing w:after="20"/>
            </w:pPr>
            <w:r/>
            <w:r>
              <w:rPr>
                <w:rFonts w:ascii="Arial" w:hAnsi="Arial" w:eastAsia="Arial"/>
                <w:b w:val="0"/>
                <w:sz w:val="16"/>
              </w:rPr>
              <w:t>DoD chung không cần đổi chỉ vì tỷ lệ quy đổi đổi. Tuy nhiên, bổ sung vào tiêu chuẩn chất lượng chung nếu chưa có: kiểm thử hồi quy cho cấu hình tỷ lệ, kiểm tra phân quyền/audit log của thay đổi cấu hình và xác nhận tài liệu/truyền thông được cập nhật. DoD không chứa tỷ lệ 20.000đ hay 25.000đ; tỷ lệ cụ thể thuộc AC/PBI.</w:t>
            </w:r>
          </w:p>
        </w:tc>
      </w:tr>
    </w:tbl>
    <w:p>
      <w:pPr>
        <w:spacing w:after="20"/>
      </w:pPr>
    </w:p>
    <w:p>
      <w:pPr>
        <w:pStyle w:val="Heading2"/>
      </w:pPr>
      <w:r>
        <w:t>D4. Quy tắc chuyển tiếp và kiểm soát rủi ro</w:t>
      </w:r>
    </w:p>
    <w:p>
      <w:pPr>
        <w:pStyle w:val="ListBullet"/>
        <w:spacing w:after="40"/>
      </w:pPr>
      <w:r>
        <w:t>Không sửa lịch sử giao dịch đã hoàn tất một cách âm thầm. Cần chốt rõ tỷ lệ mới áp dụng cho giao dịch đổi điểm phát sinh từ thời điểm nào.</w:t>
      </w:r>
    </w:p>
    <w:p>
      <w:pPr>
        <w:pStyle w:val="ListBullet"/>
        <w:spacing w:after="40"/>
      </w:pPr>
      <w:r>
        <w:t>Nếu không thể cấu hình theo thời điểm hiệu lực an toàn trong Sprint hiện tại, ghi nhận yêu cầu, ưu tiên backlog và phát hành ở Sprint kế tiếp; Marketing cần điều chỉnh lịch chiến dịch.</w:t>
      </w:r>
    </w:p>
    <w:p>
      <w:pPr>
        <w:pStyle w:val="ListBullet"/>
        <w:spacing w:after="40"/>
      </w:pPr>
      <w:r>
        <w:t>Kế toán xác nhận cách đối soát giá trị ưu đãi; Marketing xác nhận thông điệp; PO phê duyệt tiêu chí nghiệp vụ; Developers xác nhận tính khả thi và rủi ro kỹ thuật.</w:t>
      </w:r>
    </w:p>
    <w:p>
      <w:pPr>
        <w:pStyle w:val="ListBullet"/>
        <w:spacing w:after="40"/>
      </w:pPr>
      <w:r>
        <w:t>Mọi thay đổi được phản ánh trong Product Backlog và tiêu chí chấp nhận, không làm giảm DoD hoặc bỏ qua kiểm thử.</w:t>
      </w:r>
    </w:p>
    <w:p>
      <w:pPr>
        <w:pStyle w:val="Heading1"/>
      </w:pPr>
      <w:r>
        <w:t>Kết luận</w:t>
      </w:r>
    </w:p>
    <w:p>
      <w:r>
        <w:t>Tài liệu đề xuất cách vận hành GreenMart Loyalty theo 4 Sprint cố định, sử dụng MoSCoW dựa trên giá trị/rủi ro/phụ thuộc, xây dựng tiêu chí chấp nhận có thể kiểm thử và áp dụng DoD chung để bảo đảm chất lượng. Khi yêu cầu thay đổi xuất hiện, Product Owner quản lý thứ tự ưu tiên và phạm vi; đội giữ minh bạch, bảo vệ Sprint Goal và chỉ thay đổi kế hoạch theo quy trình Scrum.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TECHVIET | GREENMART LOYALTY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6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A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45A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6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