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A6A6"/>
          <w:sz w:val="32"/>
        </w:rPr>
        <w:t>FASTMOVE</w:t>
      </w:r>
    </w:p>
    <w:p>
      <w:pPr>
        <w:pStyle w:val="Title"/>
        <w:jc w:val="center"/>
      </w:pPr>
      <w:r>
        <w:t>QUY TRÌNH VẬN HÀNH KHO</w:t>
        <w:br/>
        <w:t>&amp; BÀN GIAO ĐƠN CHO SHIPPER</w:t>
      </w:r>
    </w:p>
    <w:p>
      <w:pPr>
        <w:jc w:val="center"/>
      </w:pPr>
      <w:r>
        <w:rPr>
          <w:i/>
          <w:color w:val="666666"/>
          <w:sz w:val="18"/>
        </w:rPr>
        <w:t>Mã tài liệu: FM-WH-03  |  Phiên bản: 1.0  |  Áp dụng: Nhân viên kho &amp; shipper</w:t>
      </w:r>
    </w:p>
    <w:p>
      <w:pPr>
        <w:pStyle w:val="Heading1"/>
      </w:pPr>
      <w:r>
        <w:t>1. Mục đích và phạm vi</w:t>
      </w:r>
    </w:p>
    <w:p>
      <w:r>
        <w:t>Chuẩn hóa việc tiếp nhận, phân loại, tra cứu giá cước và bàn giao đơn nhằm giảm thao tác thủ công, hạn chế sai lệch dữ liệu và giúp shipper nhận đúng đơn. Quy trình áp dụng cho mọi đơn hàng được xử lý tại kho FastMove.</w:t>
      </w:r>
    </w:p>
    <w:p>
      <w:pPr>
        <w:pStyle w:val="Heading1"/>
      </w:pPr>
      <w:r>
        <w:t>2. Vai trò và trách nhiệm</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Vai trò</w:t>
            </w:r>
          </w:p>
        </w:tc>
        <w:tc>
          <w:tcPr>
            <w:tcW w:type="dxa" w:w="3312"/>
          </w:tcPr>
          <w:p>
            <w:r>
              <w:t>Trách nhiệm chính</w:t>
            </w:r>
          </w:p>
        </w:tc>
        <w:tc>
          <w:tcPr>
            <w:tcW w:type="dxa" w:w="3312"/>
          </w:tcPr>
          <w:p>
            <w:r>
              <w:t>Điểm kiểm soát</w:t>
            </w:r>
          </w:p>
        </w:tc>
      </w:tr>
      <w:tr>
        <w:tc>
          <w:tcPr>
            <w:tcW w:type="dxa" w:w="3312"/>
          </w:tcPr>
          <w:p>
            <w:r>
              <w:t>Nhân viên kho</w:t>
            </w:r>
          </w:p>
        </w:tc>
        <w:tc>
          <w:tcPr>
            <w:tcW w:type="dxa" w:w="3312"/>
          </w:tcPr>
          <w:p>
            <w:r>
              <w:t>Tiếp nhận, kiểm đếm, nhập mã vận đơn và đối chiếu giá cước.</w:t>
            </w:r>
          </w:p>
        </w:tc>
        <w:tc>
          <w:tcPr>
            <w:tcW w:type="dxa" w:w="3312"/>
          </w:tcPr>
          <w:p>
            <w:r>
              <w:t>Không bỏ trống mã; không gộp ô dữ liệu.</w:t>
            </w:r>
          </w:p>
        </w:tc>
      </w:tr>
      <w:tr>
        <w:tc>
          <w:tcPr>
            <w:tcW w:type="dxa" w:w="3312"/>
          </w:tcPr>
          <w:p>
            <w:r>
              <w:t>Điều phối</w:t>
            </w:r>
          </w:p>
        </w:tc>
        <w:tc>
          <w:tcPr>
            <w:tcW w:type="dxa" w:w="3312"/>
          </w:tcPr>
          <w:p>
            <w:r>
              <w:t>Phân tuyến, xác nhận người nhận đơn và thời điểm bàn giao.</w:t>
            </w:r>
          </w:p>
        </w:tc>
        <w:tc>
          <w:tcPr>
            <w:tcW w:type="dxa" w:w="3312"/>
          </w:tcPr>
          <w:p>
            <w:r>
              <w:t>Kiểm tra số lượng đơn và tuyến.</w:t>
            </w:r>
          </w:p>
        </w:tc>
      </w:tr>
      <w:tr>
        <w:tc>
          <w:tcPr>
            <w:tcW w:type="dxa" w:w="3312"/>
          </w:tcPr>
          <w:p>
            <w:r>
              <w:t>Shipper</w:t>
            </w:r>
          </w:p>
        </w:tc>
        <w:tc>
          <w:tcPr>
            <w:tcW w:type="dxa" w:w="3312"/>
          </w:tcPr>
          <w:p>
            <w:r>
              <w:t>Xác nhận đơn, kiểm tra kiện, cập nhật trạng thái giao hàng.</w:t>
            </w:r>
          </w:p>
        </w:tc>
        <w:tc>
          <w:tcPr>
            <w:tcW w:type="dxa" w:w="3312"/>
          </w:tcPr>
          <w:p>
            <w:r>
              <w:t>Báo ngay khi mã/địa chỉ bất thường.</w:t>
            </w:r>
          </w:p>
        </w:tc>
      </w:tr>
      <w:tr>
        <w:tc>
          <w:tcPr>
            <w:tcW w:type="dxa" w:w="3312"/>
          </w:tcPr>
          <w:p>
            <w:r>
              <w:t>Giám sát</w:t>
            </w:r>
          </w:p>
        </w:tc>
        <w:tc>
          <w:tcPr>
            <w:tcW w:type="dxa" w:w="3312"/>
          </w:tcPr>
          <w:p>
            <w:r>
              <w:t>Theo dõi KPI, xử lý ngoại lệ và cải tiến quy trình.</w:t>
            </w:r>
          </w:p>
        </w:tc>
        <w:tc>
          <w:tcPr>
            <w:tcW w:type="dxa" w:w="3312"/>
          </w:tcPr>
          <w:p>
            <w:r>
              <w:t>Rà soát KPI theo ngày/tuần.</w:t>
            </w:r>
          </w:p>
        </w:tc>
      </w:tr>
    </w:tbl>
    <w:p>
      <w:pPr>
        <w:pStyle w:val="Heading1"/>
      </w:pPr>
      <w:r>
        <w:t>3. Quy trình vận hành chuẩn</w:t>
      </w:r>
    </w:p>
    <w:p>
      <w:pPr>
        <w:pStyle w:val="Heading2"/>
      </w:pPr>
      <w:r>
        <w:t>Bước 1 — Tiếp nhận</w:t>
      </w:r>
    </w:p>
    <w:p>
      <w:r>
        <w:t>Nhận kiện hàng và danh sách đơn từ bộ phận gửi. Đếm kiện thực tế, kiểm tra tình trạng bao bì và ghi nhận thiếu/hỏng trước khi nhập hệ thống.</w:t>
      </w:r>
    </w:p>
    <w:p>
      <w:pPr>
        <w:pStyle w:val="Heading2"/>
      </w:pPr>
      <w:r>
        <w:t>Bước 2 — Chuẩn hóa dữ liệu</w:t>
      </w:r>
    </w:p>
    <w:p>
      <w:r>
        <w:t>Mỗi đơn nằm trên một dòng; mỗi trường dữ liệu nằm trong một cột riêng. Không gộp ô, không chèn dòng trống giữa dữ liệu, không dùng màu sắc làm dữ liệu duy nhất.</w:t>
      </w:r>
    </w:p>
    <w:p>
      <w:pPr>
        <w:pStyle w:val="Heading2"/>
      </w:pPr>
      <w:r>
        <w:t>Bước 3 — Tra cứu giá cước</w:t>
      </w:r>
    </w:p>
    <w:p>
      <w:r>
        <w:t>Dùng mã vận đơn hoặc mã dịch vụ làm khóa tra cứu. Công thức VLOOKUP cần cố định vùng bảng giá bằng dấu $ và dùng dò chính xác (FALSE).</w:t>
      </w:r>
    </w:p>
    <w:p>
      <w:pPr>
        <w:pStyle w:val="Heading2"/>
      </w:pPr>
      <w:r>
        <w:t>Bước 4 — Kiểm tra ngoại lệ</w:t>
      </w:r>
    </w:p>
    <w:p>
      <w:r>
        <w:t>Nếu kết quả hiển thị 'Không tìm thấy mã', kiểm tra khoảng trắng, ký tự lạ, định dạng văn bản và việc mã có tồn tại trong bảng GiáCước. Không tự đoán giá.</w:t>
      </w:r>
    </w:p>
    <w:p>
      <w:pPr>
        <w:pStyle w:val="Heading2"/>
      </w:pPr>
      <w:r>
        <w:t>Bước 5 — Phân tuyến và bàn giao</w:t>
      </w:r>
    </w:p>
    <w:p>
      <w:r>
        <w:t>Sắp xếp đơn theo tuyến/khu vực; đối chiếu số kiện với danh sách; shipper xác nhận số lượng và tình trạng kiện trước khi rời kho.</w:t>
      </w:r>
    </w:p>
    <w:p>
      <w:pPr>
        <w:pStyle w:val="Heading2"/>
      </w:pPr>
      <w:r>
        <w:t>Bước 6 — Cập nhật trạng thái</w:t>
      </w:r>
    </w:p>
    <w:p>
      <w:r>
        <w:t>Ghi nhận thời điểm nhận đơn, đang giao, giao thành công hoặc giao thất bại. Với đơn thất bại, nhập lý do theo danh mục chuẩn.</w:t>
      </w:r>
    </w:p>
    <w:p>
      <w:pPr>
        <w:pStyle w:val="Heading2"/>
      </w:pPr>
      <w:r>
        <w:t>Bước 7 — Báo cáo KPI</w:t>
      </w:r>
    </w:p>
    <w:p>
      <w:r>
        <w:t>Cuối ca, tổng hợp tỷ lệ giao thành công, thời gian xử lý và số đơn lỗi. Nêu kết luận ngay trên tiêu đề báo cáo và đề xuất hành động.</w:t>
      </w:r>
    </w:p>
    <w:p>
      <w:pPr>
        <w:pStyle w:val="Heading1"/>
      </w:pPr>
      <w:r>
        <w:t>4. Mapping VLOOKUP với mô hình tra hồ sơ</w:t>
      </w:r>
    </w:p>
    <w:p>
      <w:r>
        <w:t>Hãy hình dung nhân viên kho đang tìm hồ sơ giá cước trong tủ hồ sơ:</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Tham số</w:t>
            </w:r>
          </w:p>
        </w:tc>
        <w:tc>
          <w:tcPr>
            <w:tcW w:type="dxa" w:w="3312"/>
          </w:tcPr>
          <w:p>
            <w:r>
              <w:t>Trong Excel</w:t>
            </w:r>
          </w:p>
        </w:tc>
        <w:tc>
          <w:tcPr>
            <w:tcW w:type="dxa" w:w="3312"/>
          </w:tcPr>
          <w:p>
            <w:r>
              <w:t>Mô hình nhân viên kho</w:t>
            </w:r>
          </w:p>
        </w:tc>
      </w:tr>
      <w:tr>
        <w:tc>
          <w:tcPr>
            <w:tcW w:type="dxa" w:w="3312"/>
          </w:tcPr>
          <w:p>
            <w:r>
              <w:t>lookup_value</w:t>
            </w:r>
          </w:p>
        </w:tc>
        <w:tc>
          <w:tcPr>
            <w:tcW w:type="dxa" w:w="3312"/>
          </w:tcPr>
          <w:p>
            <w:r>
              <w:t>Mã vận đơn tại dòng hiện tại (ví dụ A2).</w:t>
            </w:r>
          </w:p>
        </w:tc>
        <w:tc>
          <w:tcPr>
            <w:tcW w:type="dxa" w:w="3312"/>
          </w:tcPr>
          <w:p>
            <w:r>
              <w:t>Mã hồ sơ nhân viên đưa ra để tìm.</w:t>
            </w:r>
          </w:p>
        </w:tc>
      </w:tr>
      <w:tr>
        <w:tc>
          <w:tcPr>
            <w:tcW w:type="dxa" w:w="3312"/>
          </w:tcPr>
          <w:p>
            <w:r>
              <w:t>table_array</w:t>
            </w:r>
          </w:p>
        </w:tc>
        <w:tc>
          <w:tcPr>
            <w:tcW w:type="dxa" w:w="3312"/>
          </w:tcPr>
          <w:p>
            <w:r>
              <w:t>Vùng bảng giá ở sheet GiaCuoc, cố định bằng $.</w:t>
            </w:r>
          </w:p>
        </w:tc>
        <w:tc>
          <w:tcPr>
            <w:tcW w:type="dxa" w:w="3312"/>
          </w:tcPr>
          <w:p>
            <w:r>
              <w:t>Ngăn/tủ hồ sơ được chỉ định; không đổi khi tra hồ sơ tiếp theo.</w:t>
            </w:r>
          </w:p>
        </w:tc>
      </w:tr>
      <w:tr>
        <w:tc>
          <w:tcPr>
            <w:tcW w:type="dxa" w:w="3312"/>
          </w:tcPr>
          <w:p>
            <w:r>
              <w:t>col_index_num</w:t>
            </w:r>
          </w:p>
        </w:tc>
        <w:tc>
          <w:tcPr>
            <w:tcW w:type="dxa" w:w="3312"/>
          </w:tcPr>
          <w:p>
            <w:r>
              <w:t>Số thứ tự cột cần trả về trong vùng tra cứu (ví dụ 2).</w:t>
            </w:r>
          </w:p>
        </w:tc>
        <w:tc>
          <w:tcPr>
            <w:tcW w:type="dxa" w:w="3312"/>
          </w:tcPr>
          <w:p>
            <w:r>
              <w:t>Cột thông tin cần đọc trong hồ sơ, chẳng hạn giá cước.</w:t>
            </w:r>
          </w:p>
        </w:tc>
      </w:tr>
      <w:tr>
        <w:tc>
          <w:tcPr>
            <w:tcW w:type="dxa" w:w="3312"/>
          </w:tcPr>
          <w:p>
            <w:r>
              <w:t>range_lookup</w:t>
            </w:r>
          </w:p>
        </w:tc>
        <w:tc>
          <w:tcPr>
            <w:tcW w:type="dxa" w:w="3312"/>
          </w:tcPr>
          <w:p>
            <w:r>
              <w:t>FALSE để khớp chính xác.</w:t>
            </w:r>
          </w:p>
        </w:tc>
        <w:tc>
          <w:tcPr>
            <w:tcW w:type="dxa" w:w="3312"/>
          </w:tcPr>
          <w:p>
            <w:r>
              <w:t>Chỉ lấy hồ sơ đúng mã, không chọn hồ sơ gần giống.</w:t>
            </w:r>
          </w:p>
        </w:tc>
      </w:tr>
    </w:tbl>
    <w:p>
      <w:r>
        <w:t>Ví dụ công thức: =IFERROR(VLOOKUP(B2,GiaCuoc!$A$2:$B$20,2,FALSE),"Không tìm thấy mã")</w:t>
      </w:r>
    </w:p>
    <w:p>
      <w:pPr>
        <w:pStyle w:val="Heading1"/>
      </w:pPr>
      <w:r>
        <w:t>5. KPI và nhịp cải tiến</w:t>
      </w:r>
    </w:p>
    <w:p>
      <w:r>
        <w:t>Theo dõi tối thiểu: tỷ lệ giao thành công, tỷ lệ giao đúng hạn, thời gian xử lý trung bình và số đơn cần tra cứu thủ công. Ưu tiên xử lý chỉ số thấp nhất; mỗi vấn đề phải có người phụ trách, thời hạn và lần kiểm tra lại.</w:t>
      </w:r>
    </w:p>
    <w:p>
      <w:pPr>
        <w:pStyle w:val="Heading1"/>
      </w:pPr>
      <w:r>
        <w:t>6. Checklist bàn giao cho shipper</w:t>
      </w:r>
    </w:p>
    <w:p>
      <w:pPr>
        <w:pStyle w:val="ListBullet"/>
      </w:pPr>
      <w:r>
        <w:t>Đã đối chiếu mã vận đơn trên kiện với danh sách.</w:t>
      </w:r>
    </w:p>
    <w:p>
      <w:pPr>
        <w:pStyle w:val="ListBullet"/>
      </w:pPr>
      <w:r>
        <w:t>Đã xác nhận địa chỉ, số điện thoại và ghi chú giao hàng.</w:t>
      </w:r>
    </w:p>
    <w:p>
      <w:pPr>
        <w:pStyle w:val="ListBullet"/>
      </w:pPr>
      <w:r>
        <w:t>Đã kiểm đếm số kiện theo từng tuyến.</w:t>
      </w:r>
    </w:p>
    <w:p>
      <w:pPr>
        <w:pStyle w:val="ListBullet"/>
      </w:pPr>
      <w:r>
        <w:t>Đã ghi nhận ngoại lệ và thông báo điều phối.</w:t>
      </w:r>
    </w:p>
    <w:p>
      <w:pPr>
        <w:pStyle w:val="Heading1"/>
      </w:pPr>
      <w:r>
        <w:t>7. Kiểm soát phiên bản</w:t>
      </w:r>
    </w:p>
    <w:p>
      <w:r>
        <w:t>Chủ sở hữu: Bộ phận Vận hành FastMove. Rà soát quy trình khi thay đổi bảng giá, quy tắc phân tuyến hoặc hệ thống theo dõi đơn.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75B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A6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