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680" w:line="360" w:lineRule="auto"/>
        <w:jc w:val="center"/>
      </w:pPr>
      <w:r>
        <w:rPr>
          <w:rFonts w:ascii="Times New Roman" w:hAnsi="Times New Roman" w:eastAsia="Times New Roman"/>
          <w:b/>
          <w:sz w:val="44"/>
        </w:rPr>
        <w:t>ĐẠI HỌC DUY TÂN</w:t>
      </w:r>
    </w:p>
    <w:p>
      <w:pPr>
        <w:spacing w:before="240" w:after="240" w:line="360" w:lineRule="auto"/>
        <w:jc w:val="center"/>
      </w:pPr>
      <w:r>
        <w:rPr>
          <w:rFonts w:ascii="Times New Roman" w:hAnsi="Times New Roman" w:eastAsia="Times New Roman"/>
          <w:b/>
          <w:sz w:val="48"/>
        </w:rPr>
        <w:t>ĐẠO ĐỨC TRONG CÔNG VIỆC</w:t>
      </w:r>
    </w:p>
    <w:p>
      <w:pPr>
        <w:spacing w:before="200" w:after="1040" w:line="360" w:lineRule="auto"/>
        <w:jc w:val="center"/>
      </w:pPr>
      <w:r>
        <w:rPr>
          <w:rFonts w:ascii="Times New Roman" w:hAnsi="Times New Roman" w:eastAsia="Times New Roman"/>
          <w:b/>
          <w:sz w:val="48"/>
        </w:rPr>
        <w:t>ĐẠO ĐỨC KINH DOANH TRONG…</w:t>
      </w:r>
    </w:p>
    <w:p>
      <w:pPr>
        <w:spacing w:before="0" w:after="200" w:line="360" w:lineRule="auto"/>
        <w:jc w:val="center"/>
      </w:pPr>
      <w:r>
        <w:rPr>
          <w:rFonts w:ascii="Times New Roman" w:hAnsi="Times New Roman" w:eastAsia="Times New Roman"/>
          <w:b w:val="0"/>
          <w:sz w:val="40"/>
        </w:rPr>
        <w:t>Lớp: DTE 201.....</w:t>
      </w:r>
    </w:p>
    <w:p>
      <w:pPr>
        <w:spacing w:before="0" w:after="520" w:line="360" w:lineRule="auto"/>
        <w:jc w:val="center"/>
      </w:pPr>
      <w:r>
        <w:rPr>
          <w:rFonts w:ascii="Times New Roman" w:hAnsi="Times New Roman" w:eastAsia="Times New Roman"/>
          <w:b w:val="0"/>
          <w:sz w:val="40"/>
        </w:rPr>
        <w:t>Nhóm: …</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64"/>
        <w:gridCol w:w="2064"/>
        <w:gridCol w:w="2064"/>
        <w:gridCol w:w="2064"/>
        <w:gridCol w:w="2064"/>
      </w:tblGrid>
      <w:tr>
        <w:tc>
          <w:tcPr>
            <w:tcW w:type="dxa" w:w="1000"/>
            <w:vAlign w:val="center"/>
          </w:tcPr>
          <w:p>
            <w:pPr>
              <w:jc w:val="center"/>
            </w:pPr>
            <w:r/>
            <w:r>
              <w:rPr>
                <w:rFonts w:ascii="Times New Roman" w:hAnsi="Times New Roman" w:eastAsia="Times New Roman"/>
                <w:b/>
                <w:sz w:val="30"/>
              </w:rPr>
              <w:t>No.</w:t>
            </w:r>
          </w:p>
        </w:tc>
        <w:tc>
          <w:tcPr>
            <w:tcW w:type="dxa" w:w="2700"/>
            <w:vAlign w:val="center"/>
          </w:tcPr>
          <w:p>
            <w:pPr>
              <w:jc w:val="center"/>
            </w:pPr>
            <w:r/>
            <w:r>
              <w:rPr>
                <w:rFonts w:ascii="Times New Roman" w:hAnsi="Times New Roman" w:eastAsia="Times New Roman"/>
                <w:b/>
                <w:sz w:val="30"/>
              </w:rPr>
              <w:t>MSSV</w:t>
            </w:r>
          </w:p>
        </w:tc>
        <w:tc>
          <w:tcPr>
            <w:tcW w:type="dxa" w:w="5300"/>
            <w:vAlign w:val="center"/>
          </w:tcPr>
          <w:p>
            <w:pPr>
              <w:jc w:val="center"/>
            </w:pPr>
            <w:r/>
            <w:r>
              <w:rPr>
                <w:rFonts w:ascii="Times New Roman" w:hAnsi="Times New Roman" w:eastAsia="Times New Roman"/>
                <w:b/>
                <w:sz w:val="30"/>
              </w:rPr>
              <w:t>Thành viên nhóm</w:t>
            </w:r>
          </w:p>
        </w:tc>
        <w:tc>
          <w:tcPr>
            <w:tcW w:type="dxa" w:w="1800"/>
            <w:vAlign w:val="center"/>
          </w:tcPr>
          <w:p>
            <w:pPr>
              <w:jc w:val="center"/>
            </w:pPr>
            <w:r/>
            <w:r>
              <w:rPr>
                <w:rFonts w:ascii="Times New Roman" w:hAnsi="Times New Roman" w:eastAsia="Times New Roman"/>
                <w:b/>
                <w:sz w:val="30"/>
              </w:rPr>
              <w:t>Điểm số</w:t>
            </w:r>
          </w:p>
        </w:tc>
        <w:tc>
          <w:tcPr>
            <w:tcW w:type="dxa" w:w="2500"/>
            <w:vAlign w:val="center"/>
          </w:tcPr>
          <w:p>
            <w:pPr>
              <w:jc w:val="center"/>
            </w:pPr>
            <w:r/>
            <w:r>
              <w:rPr>
                <w:rFonts w:ascii="Times New Roman" w:hAnsi="Times New Roman" w:eastAsia="Times New Roman"/>
                <w:b/>
                <w:sz w:val="30"/>
              </w:rPr>
              <w:t>Điểm chữ</w:t>
            </w:r>
          </w:p>
        </w:tc>
      </w:tr>
      <w:tr>
        <w:tc>
          <w:tcPr>
            <w:tcW w:type="dxa" w:w="1000"/>
            <w:vAlign w:val="center"/>
          </w:tcPr>
          <w:p>
            <w:pPr>
              <w:jc w:val="center"/>
            </w:pPr>
            <w:r/>
            <w:r>
              <w:rPr>
                <w:rFonts w:ascii="Times New Roman" w:hAnsi="Times New Roman" w:eastAsia="Times New Roman"/>
                <w:b w:val="0"/>
                <w:sz w:val="30"/>
              </w:rPr>
              <w:t>1</w:t>
            </w:r>
          </w:p>
        </w:tc>
        <w:tc>
          <w:tcPr>
            <w:tcW w:type="dxa" w:w="2700"/>
            <w:vAlign w:val="center"/>
          </w:tcPr>
          <w:p>
            <w:pPr>
              <w:jc w:val="center"/>
            </w:pPr>
            <w:r/>
            <w:r>
              <w:rPr>
                <w:rFonts w:ascii="Times New Roman" w:hAnsi="Times New Roman" w:eastAsia="Times New Roman"/>
                <w:b w:val="0"/>
                <w:sz w:val="30"/>
              </w:rPr>
            </w:r>
          </w:p>
        </w:tc>
        <w:tc>
          <w:tcPr>
            <w:tcW w:type="dxa" w:w="5300"/>
            <w:vAlign w:val="center"/>
          </w:tcPr>
          <w:p>
            <w:pPr>
              <w:jc w:val="center"/>
            </w:pPr>
            <w:r/>
            <w:r>
              <w:rPr>
                <w:rFonts w:ascii="Times New Roman" w:hAnsi="Times New Roman" w:eastAsia="Times New Roman"/>
                <w:b w:val="0"/>
                <w:sz w:val="30"/>
              </w:rPr>
            </w:r>
          </w:p>
        </w:tc>
        <w:tc>
          <w:tcPr>
            <w:tcW w:type="dxa" w:w="1800"/>
            <w:vAlign w:val="center"/>
          </w:tcPr>
          <w:p>
            <w:pPr>
              <w:jc w:val="center"/>
            </w:pPr>
            <w:r/>
            <w:r>
              <w:rPr>
                <w:rFonts w:ascii="Times New Roman" w:hAnsi="Times New Roman" w:eastAsia="Times New Roman"/>
                <w:b w:val="0"/>
                <w:sz w:val="30"/>
              </w:rPr>
            </w:r>
          </w:p>
        </w:tc>
        <w:tc>
          <w:tcPr>
            <w:tcW w:type="dxa" w:w="2500"/>
            <w:vAlign w:val="center"/>
          </w:tcPr>
          <w:p>
            <w:pPr>
              <w:jc w:val="center"/>
            </w:pPr>
            <w:r/>
            <w:r>
              <w:rPr>
                <w:rFonts w:ascii="Times New Roman" w:hAnsi="Times New Roman" w:eastAsia="Times New Roman"/>
                <w:b w:val="0"/>
                <w:sz w:val="30"/>
              </w:rPr>
            </w:r>
          </w:p>
        </w:tc>
      </w:tr>
      <w:tr>
        <w:tc>
          <w:tcPr>
            <w:tcW w:type="dxa" w:w="1000"/>
            <w:vAlign w:val="center"/>
          </w:tcPr>
          <w:p>
            <w:pPr>
              <w:jc w:val="center"/>
            </w:pPr>
            <w:r/>
            <w:r>
              <w:rPr>
                <w:rFonts w:ascii="Times New Roman" w:hAnsi="Times New Roman" w:eastAsia="Times New Roman"/>
                <w:b w:val="0"/>
                <w:sz w:val="30"/>
              </w:rPr>
              <w:t>2</w:t>
            </w:r>
          </w:p>
        </w:tc>
        <w:tc>
          <w:tcPr>
            <w:tcW w:type="dxa" w:w="2700"/>
            <w:vAlign w:val="center"/>
          </w:tcPr>
          <w:p>
            <w:pPr>
              <w:jc w:val="center"/>
            </w:pPr>
            <w:r/>
            <w:r>
              <w:rPr>
                <w:rFonts w:ascii="Times New Roman" w:hAnsi="Times New Roman" w:eastAsia="Times New Roman"/>
                <w:b w:val="0"/>
                <w:sz w:val="30"/>
              </w:rPr>
            </w:r>
          </w:p>
        </w:tc>
        <w:tc>
          <w:tcPr>
            <w:tcW w:type="dxa" w:w="5300"/>
            <w:vAlign w:val="center"/>
          </w:tcPr>
          <w:p>
            <w:pPr>
              <w:jc w:val="center"/>
            </w:pPr>
            <w:r/>
            <w:r>
              <w:rPr>
                <w:rFonts w:ascii="Times New Roman" w:hAnsi="Times New Roman" w:eastAsia="Times New Roman"/>
                <w:b w:val="0"/>
                <w:sz w:val="30"/>
              </w:rPr>
            </w:r>
          </w:p>
        </w:tc>
        <w:tc>
          <w:tcPr>
            <w:tcW w:type="dxa" w:w="1800"/>
            <w:vAlign w:val="center"/>
          </w:tcPr>
          <w:p>
            <w:pPr>
              <w:jc w:val="center"/>
            </w:pPr>
            <w:r/>
            <w:r>
              <w:rPr>
                <w:rFonts w:ascii="Times New Roman" w:hAnsi="Times New Roman" w:eastAsia="Times New Roman"/>
                <w:b w:val="0"/>
                <w:sz w:val="30"/>
              </w:rPr>
            </w:r>
          </w:p>
        </w:tc>
        <w:tc>
          <w:tcPr>
            <w:tcW w:type="dxa" w:w="2500"/>
            <w:vAlign w:val="center"/>
          </w:tcPr>
          <w:p>
            <w:pPr>
              <w:jc w:val="center"/>
            </w:pPr>
            <w:r/>
            <w:r>
              <w:rPr>
                <w:rFonts w:ascii="Times New Roman" w:hAnsi="Times New Roman" w:eastAsia="Times New Roman"/>
                <w:b w:val="0"/>
                <w:sz w:val="30"/>
              </w:rPr>
            </w:r>
          </w:p>
        </w:tc>
      </w:tr>
      <w:tr>
        <w:tc>
          <w:tcPr>
            <w:tcW w:type="dxa" w:w="1000"/>
            <w:vAlign w:val="center"/>
          </w:tcPr>
          <w:p>
            <w:pPr>
              <w:jc w:val="center"/>
            </w:pPr>
            <w:r/>
            <w:r>
              <w:rPr>
                <w:rFonts w:ascii="Times New Roman" w:hAnsi="Times New Roman" w:eastAsia="Times New Roman"/>
                <w:b w:val="0"/>
                <w:sz w:val="30"/>
              </w:rPr>
              <w:t>3</w:t>
            </w:r>
          </w:p>
        </w:tc>
        <w:tc>
          <w:tcPr>
            <w:tcW w:type="dxa" w:w="2700"/>
            <w:vAlign w:val="center"/>
          </w:tcPr>
          <w:p>
            <w:pPr>
              <w:jc w:val="center"/>
            </w:pPr>
            <w:r/>
            <w:r>
              <w:rPr>
                <w:rFonts w:ascii="Times New Roman" w:hAnsi="Times New Roman" w:eastAsia="Times New Roman"/>
                <w:b w:val="0"/>
                <w:sz w:val="30"/>
              </w:rPr>
            </w:r>
          </w:p>
        </w:tc>
        <w:tc>
          <w:tcPr>
            <w:tcW w:type="dxa" w:w="5300"/>
            <w:vAlign w:val="center"/>
          </w:tcPr>
          <w:p>
            <w:pPr>
              <w:jc w:val="center"/>
            </w:pPr>
            <w:r/>
            <w:r>
              <w:rPr>
                <w:rFonts w:ascii="Times New Roman" w:hAnsi="Times New Roman" w:eastAsia="Times New Roman"/>
                <w:b w:val="0"/>
                <w:sz w:val="30"/>
              </w:rPr>
            </w:r>
          </w:p>
        </w:tc>
        <w:tc>
          <w:tcPr>
            <w:tcW w:type="dxa" w:w="1800"/>
            <w:vAlign w:val="center"/>
          </w:tcPr>
          <w:p>
            <w:pPr>
              <w:jc w:val="center"/>
            </w:pPr>
            <w:r/>
            <w:r>
              <w:rPr>
                <w:rFonts w:ascii="Times New Roman" w:hAnsi="Times New Roman" w:eastAsia="Times New Roman"/>
                <w:b w:val="0"/>
                <w:sz w:val="30"/>
              </w:rPr>
            </w:r>
          </w:p>
        </w:tc>
        <w:tc>
          <w:tcPr>
            <w:tcW w:type="dxa" w:w="2500"/>
            <w:vAlign w:val="center"/>
          </w:tcPr>
          <w:p>
            <w:pPr>
              <w:jc w:val="center"/>
            </w:pPr>
            <w:r/>
            <w:r>
              <w:rPr>
                <w:rFonts w:ascii="Times New Roman" w:hAnsi="Times New Roman" w:eastAsia="Times New Roman"/>
                <w:b w:val="0"/>
                <w:sz w:val="30"/>
              </w:rPr>
            </w:r>
          </w:p>
        </w:tc>
      </w:tr>
      <w:tr>
        <w:tc>
          <w:tcPr>
            <w:tcW w:type="dxa" w:w="1000"/>
            <w:vAlign w:val="center"/>
          </w:tcPr>
          <w:p>
            <w:pPr>
              <w:jc w:val="center"/>
            </w:pPr>
            <w:r/>
            <w:r>
              <w:rPr>
                <w:rFonts w:ascii="Times New Roman" w:hAnsi="Times New Roman" w:eastAsia="Times New Roman"/>
                <w:b w:val="0"/>
                <w:sz w:val="30"/>
              </w:rPr>
              <w:t>4</w:t>
            </w:r>
          </w:p>
        </w:tc>
        <w:tc>
          <w:tcPr>
            <w:tcW w:type="dxa" w:w="2700"/>
            <w:vAlign w:val="center"/>
          </w:tcPr>
          <w:p>
            <w:pPr>
              <w:jc w:val="center"/>
            </w:pPr>
            <w:r/>
            <w:r>
              <w:rPr>
                <w:rFonts w:ascii="Times New Roman" w:hAnsi="Times New Roman" w:eastAsia="Times New Roman"/>
                <w:b w:val="0"/>
                <w:sz w:val="30"/>
              </w:rPr>
            </w:r>
          </w:p>
        </w:tc>
        <w:tc>
          <w:tcPr>
            <w:tcW w:type="dxa" w:w="5300"/>
            <w:vAlign w:val="center"/>
          </w:tcPr>
          <w:p>
            <w:pPr>
              <w:jc w:val="center"/>
            </w:pPr>
            <w:r/>
            <w:r>
              <w:rPr>
                <w:rFonts w:ascii="Times New Roman" w:hAnsi="Times New Roman" w:eastAsia="Times New Roman"/>
                <w:b w:val="0"/>
                <w:sz w:val="30"/>
              </w:rPr>
            </w:r>
          </w:p>
        </w:tc>
        <w:tc>
          <w:tcPr>
            <w:tcW w:type="dxa" w:w="1800"/>
            <w:vAlign w:val="center"/>
          </w:tcPr>
          <w:p>
            <w:pPr>
              <w:jc w:val="center"/>
            </w:pPr>
            <w:r/>
            <w:r>
              <w:rPr>
                <w:rFonts w:ascii="Times New Roman" w:hAnsi="Times New Roman" w:eastAsia="Times New Roman"/>
                <w:b w:val="0"/>
                <w:sz w:val="30"/>
              </w:rPr>
            </w:r>
          </w:p>
        </w:tc>
        <w:tc>
          <w:tcPr>
            <w:tcW w:type="dxa" w:w="2500"/>
            <w:vAlign w:val="center"/>
          </w:tcPr>
          <w:p>
            <w:pPr>
              <w:jc w:val="center"/>
            </w:pPr>
            <w:r/>
            <w:r>
              <w:rPr>
                <w:rFonts w:ascii="Times New Roman" w:hAnsi="Times New Roman" w:eastAsia="Times New Roman"/>
                <w:b w:val="0"/>
                <w:sz w:val="30"/>
              </w:rPr>
            </w:r>
          </w:p>
        </w:tc>
      </w:tr>
      <w:tr>
        <w:tc>
          <w:tcPr>
            <w:tcW w:type="dxa" w:w="1000"/>
            <w:vAlign w:val="center"/>
          </w:tcPr>
          <w:p>
            <w:pPr>
              <w:jc w:val="center"/>
            </w:pPr>
            <w:r/>
            <w:r>
              <w:rPr>
                <w:rFonts w:ascii="Times New Roman" w:hAnsi="Times New Roman" w:eastAsia="Times New Roman"/>
                <w:b w:val="0"/>
                <w:sz w:val="30"/>
              </w:rPr>
              <w:t>5</w:t>
            </w:r>
          </w:p>
        </w:tc>
        <w:tc>
          <w:tcPr>
            <w:tcW w:type="dxa" w:w="2700"/>
            <w:vAlign w:val="center"/>
          </w:tcPr>
          <w:p>
            <w:pPr>
              <w:jc w:val="center"/>
            </w:pPr>
            <w:r/>
            <w:r>
              <w:rPr>
                <w:rFonts w:ascii="Times New Roman" w:hAnsi="Times New Roman" w:eastAsia="Times New Roman"/>
                <w:b w:val="0"/>
                <w:sz w:val="30"/>
              </w:rPr>
            </w:r>
          </w:p>
        </w:tc>
        <w:tc>
          <w:tcPr>
            <w:tcW w:type="dxa" w:w="5300"/>
            <w:vAlign w:val="center"/>
          </w:tcPr>
          <w:p>
            <w:pPr>
              <w:jc w:val="center"/>
            </w:pPr>
            <w:r/>
            <w:r>
              <w:rPr>
                <w:rFonts w:ascii="Times New Roman" w:hAnsi="Times New Roman" w:eastAsia="Times New Roman"/>
                <w:b w:val="0"/>
                <w:sz w:val="30"/>
              </w:rPr>
            </w:r>
          </w:p>
        </w:tc>
        <w:tc>
          <w:tcPr>
            <w:tcW w:type="dxa" w:w="1800"/>
            <w:vAlign w:val="center"/>
          </w:tcPr>
          <w:p>
            <w:pPr>
              <w:jc w:val="center"/>
            </w:pPr>
            <w:r/>
            <w:r>
              <w:rPr>
                <w:rFonts w:ascii="Times New Roman" w:hAnsi="Times New Roman" w:eastAsia="Times New Roman"/>
                <w:b w:val="0"/>
                <w:sz w:val="30"/>
              </w:rPr>
            </w:r>
          </w:p>
        </w:tc>
        <w:tc>
          <w:tcPr>
            <w:tcW w:type="dxa" w:w="2500"/>
            <w:vAlign w:val="center"/>
          </w:tcPr>
          <w:p>
            <w:pPr>
              <w:jc w:val="center"/>
            </w:pPr>
            <w:r/>
            <w:r>
              <w:rPr>
                <w:rFonts w:ascii="Times New Roman" w:hAnsi="Times New Roman" w:eastAsia="Times New Roman"/>
                <w:b w:val="0"/>
                <w:sz w:val="30"/>
              </w:rPr>
            </w:r>
          </w:p>
        </w:tc>
      </w:tr>
      <w:tr>
        <w:tc>
          <w:tcPr>
            <w:tcW w:type="dxa" w:w="1000"/>
            <w:vAlign w:val="center"/>
          </w:tcPr>
          <w:p>
            <w:pPr>
              <w:jc w:val="center"/>
            </w:pPr>
            <w:r/>
            <w:r>
              <w:rPr>
                <w:rFonts w:ascii="Times New Roman" w:hAnsi="Times New Roman" w:eastAsia="Times New Roman"/>
                <w:b w:val="0"/>
                <w:sz w:val="30"/>
              </w:rPr>
              <w:t>6</w:t>
            </w:r>
          </w:p>
        </w:tc>
        <w:tc>
          <w:tcPr>
            <w:tcW w:type="dxa" w:w="2700"/>
            <w:vAlign w:val="center"/>
          </w:tcPr>
          <w:p>
            <w:pPr>
              <w:jc w:val="center"/>
            </w:pPr>
            <w:r/>
            <w:r>
              <w:rPr>
                <w:rFonts w:ascii="Times New Roman" w:hAnsi="Times New Roman" w:eastAsia="Times New Roman"/>
                <w:b w:val="0"/>
                <w:sz w:val="30"/>
              </w:rPr>
            </w:r>
          </w:p>
        </w:tc>
        <w:tc>
          <w:tcPr>
            <w:tcW w:type="dxa" w:w="5300"/>
            <w:vAlign w:val="center"/>
          </w:tcPr>
          <w:p>
            <w:pPr>
              <w:jc w:val="center"/>
            </w:pPr>
            <w:r/>
            <w:r>
              <w:rPr>
                <w:rFonts w:ascii="Times New Roman" w:hAnsi="Times New Roman" w:eastAsia="Times New Roman"/>
                <w:b w:val="0"/>
                <w:sz w:val="30"/>
              </w:rPr>
            </w:r>
          </w:p>
        </w:tc>
        <w:tc>
          <w:tcPr>
            <w:tcW w:type="dxa" w:w="1800"/>
            <w:vAlign w:val="center"/>
          </w:tcPr>
          <w:p>
            <w:pPr>
              <w:jc w:val="center"/>
            </w:pPr>
            <w:r/>
            <w:r>
              <w:rPr>
                <w:rFonts w:ascii="Times New Roman" w:hAnsi="Times New Roman" w:eastAsia="Times New Roman"/>
                <w:b w:val="0"/>
                <w:sz w:val="30"/>
              </w:rPr>
            </w:r>
          </w:p>
        </w:tc>
        <w:tc>
          <w:tcPr>
            <w:tcW w:type="dxa" w:w="2500"/>
            <w:vAlign w:val="center"/>
          </w:tcPr>
          <w:p>
            <w:pPr>
              <w:jc w:val="center"/>
            </w:pPr>
            <w:r/>
            <w:r>
              <w:rPr>
                <w:rFonts w:ascii="Times New Roman" w:hAnsi="Times New Roman" w:eastAsia="Times New Roman"/>
                <w:b w:val="0"/>
                <w:sz w:val="30"/>
              </w:rPr>
            </w:r>
          </w:p>
        </w:tc>
      </w:tr>
      <w:tr>
        <w:tc>
          <w:tcPr>
            <w:tcW w:type="dxa" w:w="1000"/>
            <w:vAlign w:val="center"/>
          </w:tcPr>
          <w:p>
            <w:pPr>
              <w:jc w:val="center"/>
            </w:pPr>
            <w:r/>
            <w:r>
              <w:rPr>
                <w:rFonts w:ascii="Times New Roman" w:hAnsi="Times New Roman" w:eastAsia="Times New Roman"/>
                <w:b w:val="0"/>
                <w:sz w:val="30"/>
              </w:rPr>
              <w:t>7</w:t>
            </w:r>
          </w:p>
        </w:tc>
        <w:tc>
          <w:tcPr>
            <w:tcW w:type="dxa" w:w="2700"/>
            <w:vAlign w:val="center"/>
          </w:tcPr>
          <w:p>
            <w:pPr>
              <w:jc w:val="center"/>
            </w:pPr>
            <w:r/>
            <w:r>
              <w:rPr>
                <w:rFonts w:ascii="Times New Roman" w:hAnsi="Times New Roman" w:eastAsia="Times New Roman"/>
                <w:b w:val="0"/>
                <w:sz w:val="30"/>
              </w:rPr>
            </w:r>
          </w:p>
        </w:tc>
        <w:tc>
          <w:tcPr>
            <w:tcW w:type="dxa" w:w="5300"/>
            <w:vAlign w:val="center"/>
          </w:tcPr>
          <w:p>
            <w:pPr>
              <w:jc w:val="center"/>
            </w:pPr>
            <w:r/>
            <w:r>
              <w:rPr>
                <w:rFonts w:ascii="Times New Roman" w:hAnsi="Times New Roman" w:eastAsia="Times New Roman"/>
                <w:b w:val="0"/>
                <w:sz w:val="30"/>
              </w:rPr>
            </w:r>
          </w:p>
        </w:tc>
        <w:tc>
          <w:tcPr>
            <w:tcW w:type="dxa" w:w="1800"/>
            <w:vAlign w:val="center"/>
          </w:tcPr>
          <w:p>
            <w:pPr>
              <w:jc w:val="center"/>
            </w:pPr>
            <w:r/>
            <w:r>
              <w:rPr>
                <w:rFonts w:ascii="Times New Roman" w:hAnsi="Times New Roman" w:eastAsia="Times New Roman"/>
                <w:b w:val="0"/>
                <w:sz w:val="30"/>
              </w:rPr>
            </w:r>
          </w:p>
        </w:tc>
        <w:tc>
          <w:tcPr>
            <w:tcW w:type="dxa" w:w="2500"/>
            <w:vAlign w:val="center"/>
          </w:tcPr>
          <w:p>
            <w:pPr>
              <w:jc w:val="center"/>
            </w:pPr>
            <w:r/>
            <w:r>
              <w:rPr>
                <w:rFonts w:ascii="Times New Roman" w:hAnsi="Times New Roman" w:eastAsia="Times New Roman"/>
                <w:b w:val="0"/>
                <w:sz w:val="30"/>
              </w:rPr>
            </w:r>
          </w:p>
        </w:tc>
      </w:tr>
      <w:tr>
        <w:tc>
          <w:tcPr>
            <w:tcW w:type="dxa" w:w="1000"/>
            <w:vAlign w:val="center"/>
          </w:tcPr>
          <w:p>
            <w:pPr>
              <w:jc w:val="center"/>
            </w:pPr>
            <w:r/>
            <w:r>
              <w:rPr>
                <w:rFonts w:ascii="Times New Roman" w:hAnsi="Times New Roman" w:eastAsia="Times New Roman"/>
                <w:b w:val="0"/>
                <w:sz w:val="30"/>
              </w:rPr>
              <w:t>8</w:t>
            </w:r>
          </w:p>
        </w:tc>
        <w:tc>
          <w:tcPr>
            <w:tcW w:type="dxa" w:w="2700"/>
            <w:vAlign w:val="center"/>
          </w:tcPr>
          <w:p>
            <w:pPr>
              <w:jc w:val="center"/>
            </w:pPr>
            <w:r/>
            <w:r>
              <w:rPr>
                <w:rFonts w:ascii="Times New Roman" w:hAnsi="Times New Roman" w:eastAsia="Times New Roman"/>
                <w:b w:val="0"/>
                <w:sz w:val="30"/>
              </w:rPr>
            </w:r>
          </w:p>
        </w:tc>
        <w:tc>
          <w:tcPr>
            <w:tcW w:type="dxa" w:w="5300"/>
            <w:vAlign w:val="center"/>
          </w:tcPr>
          <w:p>
            <w:pPr>
              <w:jc w:val="center"/>
            </w:pPr>
            <w:r/>
            <w:r>
              <w:rPr>
                <w:rFonts w:ascii="Times New Roman" w:hAnsi="Times New Roman" w:eastAsia="Times New Roman"/>
                <w:b w:val="0"/>
                <w:sz w:val="30"/>
              </w:rPr>
            </w:r>
          </w:p>
        </w:tc>
        <w:tc>
          <w:tcPr>
            <w:tcW w:type="dxa" w:w="1800"/>
            <w:vAlign w:val="center"/>
          </w:tcPr>
          <w:p>
            <w:pPr>
              <w:jc w:val="center"/>
            </w:pPr>
            <w:r/>
            <w:r>
              <w:rPr>
                <w:rFonts w:ascii="Times New Roman" w:hAnsi="Times New Roman" w:eastAsia="Times New Roman"/>
                <w:b w:val="0"/>
                <w:sz w:val="30"/>
              </w:rPr>
            </w:r>
          </w:p>
        </w:tc>
        <w:tc>
          <w:tcPr>
            <w:tcW w:type="dxa" w:w="2500"/>
            <w:vAlign w:val="center"/>
          </w:tcPr>
          <w:p>
            <w:pPr>
              <w:jc w:val="center"/>
            </w:pPr>
            <w:r/>
            <w:r>
              <w:rPr>
                <w:rFonts w:ascii="Times New Roman" w:hAnsi="Times New Roman" w:eastAsia="Times New Roman"/>
                <w:b w:val="0"/>
                <w:sz w:val="30"/>
              </w:rPr>
            </w:r>
          </w:p>
        </w:tc>
      </w:tr>
    </w:tbl>
    <w:p>
      <w:pPr>
        <w:spacing w:before="1240" w:after="0" w:line="360" w:lineRule="auto"/>
        <w:jc w:val="center"/>
      </w:pPr>
      <w:r>
        <w:rPr>
          <w:rFonts w:ascii="Times New Roman" w:hAnsi="Times New Roman" w:eastAsia="Times New Roman"/>
          <w:b w:val="0"/>
          <w:sz w:val="32"/>
        </w:rPr>
        <w:t>Đà Nẵng, tháng 03 năm 2026</w:t>
      </w:r>
    </w:p>
    <w:p>
      <w:pPr>
        <w:sectPr>
          <w:footerReference w:type="default" r:id="rId9"/>
          <w:pgSz w:w="11906" w:h="16838"/>
          <w:pgMar w:top="1020" w:right="794" w:bottom="850" w:left="794" w:header="720" w:footer="720" w:gutter="0"/>
          <w:cols w:space="720"/>
          <w:docGrid w:linePitch="360"/>
          <w:pgBorders w:offsetFrom="page">
            <w:top w:val="thinThickSmallGap" w:sz="24" w:space="24" w:color="auto"/>
            <w:left w:val="thinThickSmallGap" w:sz="24" w:space="24" w:color="auto"/>
            <w:bottom w:val="thickThinSmallGap" w:sz="24" w:space="24" w:color="auto"/>
            <w:right w:val="thickThinSmallGap" w:sz="24" w:space="24" w:color="auto"/>
          </w:pgBorders>
        </w:sectPr>
      </w:pPr>
    </w:p>
    <w:p>
      <w:pPr>
        <w:spacing w:before="680" w:after="360" w:line="360" w:lineRule="auto"/>
        <w:jc w:val="left"/>
      </w:pPr>
      <w:r>
        <w:rPr>
          <w:rFonts w:ascii="Times New Roman" w:hAnsi="Times New Roman" w:eastAsia="Times New Roman"/>
          <w:b/>
          <w:sz w:val="34"/>
        </w:rPr>
        <w:t>MỤC LỤC</w:t>
      </w:r>
    </w:p>
    <w:p>
      <w:pPr>
        <w:tabs>
          <w:tab w:pos="9071" w:val="right" w:leader="dot"/>
        </w:tabs>
        <w:spacing w:after="180" w:line="300" w:lineRule="auto"/>
      </w:pPr>
      <w:r>
        <w:rPr>
          <w:rFonts w:ascii="Times New Roman" w:hAnsi="Times New Roman" w:eastAsia="Times New Roman"/>
          <w:b w:val="0"/>
          <w:sz w:val="32"/>
        </w:rPr>
        <w:t>CHƯƠNG 1: CƠ SỞ LÝ THUYẾT</w:t>
        <w:tab/>
        <w:t>4</w:t>
      </w:r>
    </w:p>
    <w:p>
      <w:pPr>
        <w:tabs>
          <w:tab w:pos="9071" w:val="right" w:leader="dot"/>
        </w:tabs>
        <w:spacing w:after="180" w:line="300" w:lineRule="auto"/>
        <w:ind w:left="397"/>
      </w:pPr>
      <w:r>
        <w:rPr>
          <w:rFonts w:ascii="Times New Roman" w:hAnsi="Times New Roman" w:eastAsia="Times New Roman"/>
          <w:b w:val="0"/>
          <w:sz w:val="32"/>
        </w:rPr>
        <w:t>1.1. Đạo đức</w:t>
        <w:tab/>
        <w:t>4</w:t>
      </w:r>
    </w:p>
    <w:p>
      <w:pPr>
        <w:tabs>
          <w:tab w:pos="9071" w:val="right" w:leader="dot"/>
        </w:tabs>
        <w:spacing w:after="180" w:line="300" w:lineRule="auto"/>
        <w:ind w:left="397"/>
      </w:pPr>
      <w:r>
        <w:rPr>
          <w:rFonts w:ascii="Times New Roman" w:hAnsi="Times New Roman" w:eastAsia="Times New Roman"/>
          <w:b w:val="0"/>
          <w:sz w:val="32"/>
        </w:rPr>
        <w:t>1.2. Đạo đức kinh doanh</w:t>
        <w:tab/>
        <w:t>4</w:t>
      </w:r>
    </w:p>
    <w:p>
      <w:pPr>
        <w:tabs>
          <w:tab w:pos="9071" w:val="right" w:leader="dot"/>
        </w:tabs>
        <w:spacing w:after="180" w:line="300" w:lineRule="auto"/>
        <w:ind w:left="397"/>
      </w:pPr>
      <w:r>
        <w:rPr>
          <w:rFonts w:ascii="Times New Roman" w:hAnsi="Times New Roman" w:eastAsia="Times New Roman"/>
          <w:b w:val="0"/>
          <w:sz w:val="32"/>
        </w:rPr>
        <w:t>1.3. Đạo đức kinh doanh trong ngành Nhà hàng – Khách sạn</w:t>
        <w:tab/>
        <w:t>5</w:t>
      </w:r>
    </w:p>
    <w:p>
      <w:pPr>
        <w:tabs>
          <w:tab w:pos="9071" w:val="right" w:leader="dot"/>
        </w:tabs>
        <w:spacing w:after="180" w:line="300" w:lineRule="auto"/>
      </w:pPr>
      <w:r>
        <w:rPr>
          <w:rFonts w:ascii="Times New Roman" w:hAnsi="Times New Roman" w:eastAsia="Times New Roman"/>
          <w:b w:val="0"/>
          <w:sz w:val="32"/>
        </w:rPr>
        <w:t>CHƯƠNG 2: CÁC VÍ DỤ THỰC TẾ</w:t>
        <w:tab/>
        <w:t>7</w:t>
      </w:r>
    </w:p>
    <w:p>
      <w:pPr>
        <w:tabs>
          <w:tab w:pos="9071" w:val="right" w:leader="dot"/>
        </w:tabs>
        <w:spacing w:after="180" w:line="300" w:lineRule="auto"/>
        <w:ind w:left="397"/>
      </w:pPr>
      <w:r>
        <w:rPr>
          <w:rFonts w:ascii="Times New Roman" w:hAnsi="Times New Roman" w:eastAsia="Times New Roman"/>
          <w:b w:val="0"/>
          <w:sz w:val="32"/>
        </w:rPr>
        <w:t>2.1. Tổ hợp Khách sạn Mường Thanh và Căn hộ cao cấp Sơn Trà</w:t>
        <w:tab/>
        <w:t>7</w:t>
      </w:r>
    </w:p>
    <w:p>
      <w:pPr>
        <w:tabs>
          <w:tab w:pos="9071" w:val="right" w:leader="dot"/>
        </w:tabs>
        <w:spacing w:after="180" w:line="300" w:lineRule="auto"/>
        <w:ind w:left="397"/>
      </w:pPr>
      <w:r>
        <w:rPr>
          <w:rFonts w:ascii="Times New Roman" w:hAnsi="Times New Roman" w:eastAsia="Times New Roman"/>
          <w:b w:val="0"/>
          <w:sz w:val="32"/>
        </w:rPr>
        <w:t>2.2. Nhà hàng Mỹ Hạnh Seafood</w:t>
        <w:tab/>
        <w:t>11</w:t>
      </w:r>
    </w:p>
    <w:p>
      <w:pPr>
        <w:tabs>
          <w:tab w:pos="9071" w:val="right" w:leader="dot"/>
        </w:tabs>
        <w:spacing w:after="180" w:line="300" w:lineRule="auto"/>
        <w:ind w:left="397"/>
      </w:pPr>
      <w:r>
        <w:rPr>
          <w:rFonts w:ascii="Times New Roman" w:hAnsi="Times New Roman" w:eastAsia="Times New Roman"/>
          <w:b w:val="0"/>
          <w:sz w:val="32"/>
        </w:rPr>
        <w:t>2.3. Chicland Danang Beach Hotel</w:t>
        <w:tab/>
        <w:t>14</w:t>
      </w:r>
    </w:p>
    <w:p>
      <w:pPr>
        <w:tabs>
          <w:tab w:pos="9071" w:val="right" w:leader="dot"/>
        </w:tabs>
        <w:spacing w:after="180" w:line="300" w:lineRule="auto"/>
      </w:pPr>
      <w:r>
        <w:rPr>
          <w:rFonts w:ascii="Times New Roman" w:hAnsi="Times New Roman" w:eastAsia="Times New Roman"/>
          <w:b w:val="0"/>
          <w:sz w:val="32"/>
        </w:rPr>
        <w:t>CHƯƠNG 3: KẾT LUẬN</w:t>
        <w:tab/>
        <w:t>17</w:t>
      </w:r>
    </w:p>
    <w:p>
      <w:pPr>
        <w:tabs>
          <w:tab w:pos="9071" w:val="right" w:leader="dot"/>
        </w:tabs>
        <w:spacing w:after="180" w:line="300" w:lineRule="auto"/>
      </w:pPr>
      <w:r>
        <w:rPr>
          <w:rFonts w:ascii="Times New Roman" w:hAnsi="Times New Roman" w:eastAsia="Times New Roman"/>
          <w:b w:val="0"/>
          <w:sz w:val="32"/>
        </w:rPr>
        <w:t>TÀI LIỆU THAM KHẢO</w:t>
        <w:tab/>
        <w:t>22</w:t>
      </w:r>
    </w:p>
    <w:p>
      <w:pPr>
        <w:sectPr>
          <w:footerReference w:type="default" r:id="rId10"/>
          <w:pgSz w:w="11906" w:h="16838"/>
          <w:pgMar w:top="1134" w:right="1247" w:bottom="1134" w:left="1531" w:header="720" w:footer="720" w:gutter="0"/>
          <w:cols w:space="720"/>
          <w:docGrid w:linePitch="360"/>
        </w:sectPr>
      </w:pPr>
    </w:p>
    <w:p>
      <w:pPr>
        <w:spacing w:before="440" w:after="40" w:line="360" w:lineRule="auto"/>
        <w:jc w:val="center"/>
      </w:pPr>
      <w:r>
        <w:rPr>
          <w:rFonts w:ascii="Times New Roman" w:hAnsi="Times New Roman" w:eastAsia="Times New Roman"/>
          <w:b/>
          <w:sz w:val="30"/>
        </w:rPr>
        <w:t>BÁO CÁO HOẠT ĐỘNG NHÓM</w:t>
      </w:r>
    </w:p>
    <w:p>
      <w:pPr>
        <w:spacing w:before="0" w:after="80" w:line="360" w:lineRule="auto"/>
        <w:jc w:val="left"/>
      </w:pPr>
      <w:r>
        <w:rPr>
          <w:rFonts w:ascii="Times New Roman" w:hAnsi="Times New Roman" w:eastAsia="Times New Roman"/>
          <w:b/>
          <w:sz w:val="28"/>
        </w:rPr>
        <w:t>❖  Đánh giá báo cáo (dành cho GV ghi)</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61"/>
        <w:gridCol w:w="3061"/>
        <w:gridCol w:w="3061"/>
      </w:tblGrid>
      <w:tr>
        <w:tc>
          <w:tcPr>
            <w:tcW w:type="dxa" w:w="3500"/>
            <w:vAlign w:val="center"/>
          </w:tcPr>
          <w:p>
            <w:pPr>
              <w:jc w:val="center"/>
            </w:pPr>
            <w:r/>
            <w:r>
              <w:rPr>
                <w:rFonts w:ascii="Times New Roman" w:hAnsi="Times New Roman" w:eastAsia="Times New Roman"/>
                <w:b/>
                <w:sz w:val="28"/>
              </w:rPr>
              <w:t>Tiêu chí đánh giá</w:t>
            </w:r>
          </w:p>
        </w:tc>
        <w:tc>
          <w:tcPr>
            <w:tcW w:type="dxa" w:w="3500"/>
            <w:vAlign w:val="center"/>
          </w:tcPr>
          <w:p>
            <w:pPr>
              <w:jc w:val="center"/>
            </w:pPr>
            <w:r/>
            <w:r>
              <w:rPr>
                <w:rFonts w:ascii="Times New Roman" w:hAnsi="Times New Roman" w:eastAsia="Times New Roman"/>
                <w:b/>
                <w:sz w:val="28"/>
              </w:rPr>
              <w:t>Trọng số</w:t>
            </w:r>
          </w:p>
        </w:tc>
        <w:tc>
          <w:tcPr>
            <w:tcW w:type="dxa" w:w="4300"/>
            <w:vAlign w:val="center"/>
          </w:tcPr>
          <w:p>
            <w:pPr>
              <w:jc w:val="center"/>
            </w:pPr>
            <w:r/>
            <w:r>
              <w:rPr>
                <w:rFonts w:ascii="Times New Roman" w:hAnsi="Times New Roman" w:eastAsia="Times New Roman"/>
                <w:b/>
                <w:sz w:val="28"/>
              </w:rPr>
              <w:t>Điểm</w:t>
            </w:r>
          </w:p>
        </w:tc>
      </w:tr>
      <w:tr>
        <w:tc>
          <w:tcPr>
            <w:tcW w:type="dxa" w:w="3500"/>
            <w:vAlign w:val="center"/>
          </w:tcPr>
          <w:p>
            <w:pPr>
              <w:jc w:val="center"/>
            </w:pPr>
            <w:r/>
            <w:r>
              <w:rPr>
                <w:rFonts w:ascii="Times New Roman" w:hAnsi="Times New Roman" w:eastAsia="Times New Roman"/>
                <w:b w:val="0"/>
                <w:sz w:val="28"/>
              </w:rPr>
              <w:t>Nội dung báo cáo</w:t>
            </w:r>
          </w:p>
        </w:tc>
        <w:tc>
          <w:tcPr>
            <w:tcW w:type="dxa" w:w="3500"/>
            <w:vAlign w:val="center"/>
          </w:tcPr>
          <w:p>
            <w:pPr>
              <w:jc w:val="center"/>
            </w:pPr>
            <w:r/>
            <w:r>
              <w:rPr>
                <w:rFonts w:ascii="Times New Roman" w:hAnsi="Times New Roman" w:eastAsia="Times New Roman"/>
                <w:b w:val="0"/>
                <w:sz w:val="28"/>
              </w:rPr>
              <w:t>80%</w:t>
            </w:r>
          </w:p>
        </w:tc>
        <w:tc>
          <w:tcPr>
            <w:tcW w:type="dxa" w:w="4300"/>
            <w:vAlign w:val="center"/>
          </w:tcPr>
          <w:p>
            <w:pPr>
              <w:jc w:val="center"/>
            </w:pPr>
            <w:r/>
            <w:r>
              <w:rPr>
                <w:rFonts w:ascii="Times New Roman" w:hAnsi="Times New Roman" w:eastAsia="Times New Roman"/>
                <w:b w:val="0"/>
                <w:sz w:val="28"/>
              </w:rPr>
            </w:r>
          </w:p>
        </w:tc>
      </w:tr>
      <w:tr>
        <w:tc>
          <w:tcPr>
            <w:tcW w:type="dxa" w:w="3500"/>
            <w:vAlign w:val="center"/>
          </w:tcPr>
          <w:p>
            <w:pPr>
              <w:jc w:val="center"/>
            </w:pPr>
            <w:r/>
            <w:r>
              <w:rPr>
                <w:rFonts w:ascii="Times New Roman" w:hAnsi="Times New Roman" w:eastAsia="Times New Roman"/>
                <w:b w:val="0"/>
                <w:sz w:val="28"/>
              </w:rPr>
              <w:t>Trình bày báo cáo</w:t>
            </w:r>
          </w:p>
        </w:tc>
        <w:tc>
          <w:tcPr>
            <w:tcW w:type="dxa" w:w="3500"/>
            <w:vAlign w:val="center"/>
          </w:tcPr>
          <w:p>
            <w:pPr>
              <w:jc w:val="center"/>
            </w:pPr>
            <w:r/>
            <w:r>
              <w:rPr>
                <w:rFonts w:ascii="Times New Roman" w:hAnsi="Times New Roman" w:eastAsia="Times New Roman"/>
                <w:b w:val="0"/>
                <w:sz w:val="28"/>
              </w:rPr>
              <w:t>20%</w:t>
            </w:r>
          </w:p>
        </w:tc>
        <w:tc>
          <w:tcPr>
            <w:tcW w:type="dxa" w:w="4300"/>
            <w:vAlign w:val="center"/>
          </w:tcPr>
          <w:p>
            <w:pPr>
              <w:jc w:val="center"/>
            </w:pPr>
            <w:r/>
            <w:r>
              <w:rPr>
                <w:rFonts w:ascii="Times New Roman" w:hAnsi="Times New Roman" w:eastAsia="Times New Roman"/>
                <w:b w:val="0"/>
                <w:sz w:val="28"/>
              </w:rPr>
            </w:r>
          </w:p>
        </w:tc>
      </w:tr>
      <w:tr>
        <w:tc>
          <w:tcPr>
            <w:tcW w:type="dxa" w:w="3500"/>
            <w:vAlign w:val="center"/>
          </w:tcPr>
          <w:p>
            <w:pPr>
              <w:jc w:val="center"/>
            </w:pPr>
            <w:r/>
            <w:r>
              <w:rPr>
                <w:rFonts w:ascii="Times New Roman" w:hAnsi="Times New Roman" w:eastAsia="Times New Roman"/>
                <w:b w:val="0"/>
                <w:sz w:val="28"/>
              </w:rPr>
              <w:t>Tổng cộng</w:t>
            </w:r>
          </w:p>
        </w:tc>
        <w:tc>
          <w:tcPr>
            <w:tcW w:type="dxa" w:w="3500"/>
            <w:vAlign w:val="center"/>
          </w:tcPr>
          <w:p>
            <w:pPr>
              <w:jc w:val="center"/>
            </w:pPr>
            <w:r/>
            <w:r>
              <w:rPr>
                <w:rFonts w:ascii="Times New Roman" w:hAnsi="Times New Roman" w:eastAsia="Times New Roman"/>
                <w:b w:val="0"/>
                <w:sz w:val="28"/>
              </w:rPr>
              <w:t>100%</w:t>
            </w:r>
          </w:p>
        </w:tc>
        <w:tc>
          <w:tcPr>
            <w:tcW w:type="dxa" w:w="4300"/>
            <w:vAlign w:val="center"/>
          </w:tcPr>
          <w:p>
            <w:pPr>
              <w:jc w:val="center"/>
            </w:pPr>
            <w:r/>
            <w:r>
              <w:rPr>
                <w:rFonts w:ascii="Times New Roman" w:hAnsi="Times New Roman" w:eastAsia="Times New Roman"/>
                <w:b w:val="0"/>
                <w:sz w:val="28"/>
              </w:rPr>
            </w:r>
          </w:p>
        </w:tc>
      </w:tr>
    </w:tbl>
    <w:p>
      <w:pPr>
        <w:spacing w:before="440" w:after="80" w:line="360" w:lineRule="auto"/>
        <w:jc w:val="left"/>
      </w:pPr>
      <w:r>
        <w:rPr>
          <w:rFonts w:ascii="Times New Roman" w:hAnsi="Times New Roman" w:eastAsia="Times New Roman"/>
          <w:b/>
          <w:sz w:val="28"/>
        </w:rPr>
        <w:t>❖  Đánh giá hoạt động của các thành viên trong nhóm: (dành cho nhóm ghi)</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gridCol w:w="1531"/>
      </w:tblGrid>
      <w:tr>
        <w:tc>
          <w:tcPr>
            <w:tcW w:type="dxa" w:w="3000"/>
            <w:vAlign w:val="center"/>
          </w:tcPr>
          <w:p>
            <w:pPr>
              <w:jc w:val="center"/>
            </w:pPr>
            <w:r/>
            <w:r>
              <w:rPr>
                <w:rFonts w:ascii="Times New Roman" w:hAnsi="Times New Roman" w:eastAsia="Times New Roman"/>
                <w:b/>
                <w:sz w:val="26"/>
              </w:rPr>
              <w:t>Họ và tên</w:t>
              <w:br/>
              <w:t>thành viên</w:t>
            </w:r>
          </w:p>
        </w:tc>
        <w:tc>
          <w:tcPr>
            <w:tcW w:type="dxa" w:w="1800"/>
            <w:vAlign w:val="center"/>
          </w:tcPr>
          <w:p>
            <w:pPr>
              <w:jc w:val="center"/>
            </w:pPr>
            <w:r/>
            <w:r>
              <w:rPr>
                <w:rFonts w:ascii="Times New Roman" w:hAnsi="Times New Roman" w:eastAsia="Times New Roman"/>
                <w:b w:val="0"/>
                <w:color w:val="FF0000"/>
                <w:sz w:val="26"/>
              </w:rPr>
              <w:t>VÍ DỤ:</w:t>
              <w:br/>
              <w:t>NGUYỄN</w:t>
              <w:br/>
              <w:t>VĂN A</w:t>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r>
      <w:tr>
        <w:tc>
          <w:tcPr>
            <w:tcW w:type="dxa" w:w="3000"/>
            <w:vAlign w:val="center"/>
          </w:tcPr>
          <w:p>
            <w:pPr>
              <w:jc w:val="center"/>
            </w:pPr>
            <w:r/>
            <w:r>
              <w:rPr>
                <w:rFonts w:ascii="Times New Roman" w:hAnsi="Times New Roman" w:eastAsia="Times New Roman"/>
                <w:b/>
                <w:sz w:val="26"/>
              </w:rPr>
              <w:t>Liệt kê chi tiết công</w:t>
              <w:br/>
              <w:t>việc đảm nhiệm</w:t>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r>
      <w:tr>
        <w:tc>
          <w:tcPr>
            <w:tcW w:type="dxa" w:w="3000"/>
            <w:gridSpan w:val="6"/>
            <w:vAlign w:val="center"/>
          </w:tcPr>
          <w:p>
            <w:pPr>
              <w:jc w:val="center"/>
            </w:pPr>
            <w:r/>
            <w:r>
              <w:rPr>
                <w:rFonts w:ascii="Times New Roman" w:hAnsi="Times New Roman" w:eastAsia="Times New Roman"/>
                <w:b/>
                <w:sz w:val="26"/>
              </w:rPr>
              <w:t>Đánh giá (Thang điểm 0-1-2-3)</w:t>
            </w:r>
          </w:p>
        </w:tc>
      </w:tr>
      <w:tr>
        <w:tc>
          <w:tcPr>
            <w:tcW w:type="dxa" w:w="3000"/>
            <w:vAlign w:val="center"/>
          </w:tcPr>
          <w:p>
            <w:pPr>
              <w:jc w:val="center"/>
            </w:pPr>
            <w:r/>
            <w:r>
              <w:rPr>
                <w:rFonts w:ascii="Times New Roman" w:hAnsi="Times New Roman" w:eastAsia="Times New Roman"/>
                <w:b/>
                <w:sz w:val="26"/>
              </w:rPr>
              <w:t>Mức độ đóng góp</w:t>
              <w:br/>
              <w:t>nội dung</w:t>
            </w:r>
          </w:p>
        </w:tc>
        <w:tc>
          <w:tcPr>
            <w:tcW w:type="dxa" w:w="1800"/>
            <w:vAlign w:val="center"/>
          </w:tcPr>
          <w:p>
            <w:pPr>
              <w:jc w:val="center"/>
            </w:pPr>
            <w:r/>
            <w:r>
              <w:rPr>
                <w:rFonts w:ascii="Times New Roman" w:hAnsi="Times New Roman" w:eastAsia="Times New Roman"/>
                <w:b w:val="0"/>
                <w:color w:val="FF0000"/>
                <w:sz w:val="26"/>
              </w:rPr>
              <w:t>3</w:t>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r>
      <w:tr>
        <w:tc>
          <w:tcPr>
            <w:tcW w:type="dxa" w:w="3000"/>
            <w:vAlign w:val="center"/>
          </w:tcPr>
          <w:p>
            <w:pPr>
              <w:jc w:val="center"/>
            </w:pPr>
            <w:r/>
            <w:r>
              <w:rPr>
                <w:rFonts w:ascii="Times New Roman" w:hAnsi="Times New Roman" w:eastAsia="Times New Roman"/>
                <w:b/>
                <w:sz w:val="26"/>
              </w:rPr>
              <w:t>Thời gian hoàn</w:t>
              <w:br/>
              <w:t>thành</w:t>
            </w:r>
          </w:p>
        </w:tc>
        <w:tc>
          <w:tcPr>
            <w:tcW w:type="dxa" w:w="1800"/>
            <w:vAlign w:val="center"/>
          </w:tcPr>
          <w:p>
            <w:pPr>
              <w:jc w:val="center"/>
            </w:pPr>
            <w:r/>
            <w:r>
              <w:rPr>
                <w:rFonts w:ascii="Times New Roman" w:hAnsi="Times New Roman" w:eastAsia="Times New Roman"/>
                <w:b w:val="0"/>
                <w:color w:val="FF0000"/>
                <w:sz w:val="26"/>
              </w:rPr>
              <w:t>3</w:t>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r>
      <w:tr>
        <w:tc>
          <w:tcPr>
            <w:tcW w:type="dxa" w:w="3000"/>
            <w:vAlign w:val="center"/>
          </w:tcPr>
          <w:p>
            <w:pPr>
              <w:jc w:val="center"/>
            </w:pPr>
            <w:r/>
            <w:r>
              <w:rPr>
                <w:rFonts w:ascii="Times New Roman" w:hAnsi="Times New Roman" w:eastAsia="Times New Roman"/>
                <w:b/>
                <w:sz w:val="26"/>
              </w:rPr>
              <w:t>Giải quyết vấn đề</w:t>
            </w:r>
          </w:p>
        </w:tc>
        <w:tc>
          <w:tcPr>
            <w:tcW w:type="dxa" w:w="1800"/>
            <w:vAlign w:val="center"/>
          </w:tcPr>
          <w:p>
            <w:pPr>
              <w:jc w:val="center"/>
            </w:pPr>
            <w:r/>
            <w:r>
              <w:rPr>
                <w:rFonts w:ascii="Times New Roman" w:hAnsi="Times New Roman" w:eastAsia="Times New Roman"/>
                <w:b w:val="0"/>
                <w:color w:val="FF0000"/>
                <w:sz w:val="26"/>
              </w:rPr>
              <w:t>3</w:t>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r>
      <w:tr>
        <w:tc>
          <w:tcPr>
            <w:tcW w:type="dxa" w:w="3000"/>
            <w:vAlign w:val="center"/>
          </w:tcPr>
          <w:p>
            <w:pPr>
              <w:jc w:val="center"/>
            </w:pPr>
            <w:r/>
            <w:r>
              <w:rPr>
                <w:rFonts w:ascii="Times New Roman" w:hAnsi="Times New Roman" w:eastAsia="Times New Roman"/>
                <w:b/>
                <w:sz w:val="26"/>
              </w:rPr>
              <w:t>Chuyên cần</w:t>
            </w:r>
          </w:p>
        </w:tc>
        <w:tc>
          <w:tcPr>
            <w:tcW w:type="dxa" w:w="1800"/>
            <w:vAlign w:val="center"/>
          </w:tcPr>
          <w:p>
            <w:pPr>
              <w:jc w:val="center"/>
            </w:pPr>
            <w:r/>
            <w:r>
              <w:rPr>
                <w:rFonts w:ascii="Times New Roman" w:hAnsi="Times New Roman" w:eastAsia="Times New Roman"/>
                <w:b w:val="0"/>
                <w:color w:val="FF0000"/>
                <w:sz w:val="26"/>
              </w:rPr>
              <w:t>3</w:t>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r>
      <w:tr>
        <w:tc>
          <w:tcPr>
            <w:tcW w:type="dxa" w:w="3000"/>
            <w:vAlign w:val="center"/>
          </w:tcPr>
          <w:p>
            <w:pPr>
              <w:jc w:val="center"/>
            </w:pPr>
            <w:r/>
            <w:r>
              <w:rPr>
                <w:rFonts w:ascii="Times New Roman" w:hAnsi="Times New Roman" w:eastAsia="Times New Roman"/>
                <w:b/>
                <w:sz w:val="26"/>
              </w:rPr>
              <w:t>Thái độ</w:t>
            </w:r>
          </w:p>
        </w:tc>
        <w:tc>
          <w:tcPr>
            <w:tcW w:type="dxa" w:w="1800"/>
            <w:vAlign w:val="center"/>
          </w:tcPr>
          <w:p>
            <w:pPr>
              <w:jc w:val="center"/>
            </w:pPr>
            <w:r/>
            <w:r>
              <w:rPr>
                <w:rFonts w:ascii="Times New Roman" w:hAnsi="Times New Roman" w:eastAsia="Times New Roman"/>
                <w:b w:val="0"/>
                <w:color w:val="FF0000"/>
                <w:sz w:val="26"/>
              </w:rPr>
              <w:t>3</w:t>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c>
          <w:tcPr>
            <w:tcW w:type="dxa" w:w="1800"/>
            <w:vAlign w:val="center"/>
          </w:tcPr>
          <w:p>
            <w:pPr>
              <w:jc w:val="center"/>
            </w:pPr>
            <w:r/>
            <w:r>
              <w:rPr>
                <w:rFonts w:ascii="Times New Roman" w:hAnsi="Times New Roman" w:eastAsia="Times New Roman"/>
                <w:b w:val="0"/>
                <w:sz w:val="26"/>
              </w:rPr>
            </w:r>
          </w:p>
        </w:tc>
      </w:tr>
      <w:tr>
        <w:tc>
          <w:tcPr>
            <w:tcW w:type="dxa" w:w="3000"/>
            <w:vAlign w:val="center"/>
          </w:tcPr>
          <w:p>
            <w:pPr>
              <w:jc w:val="center"/>
            </w:pPr>
            <w:r/>
            <w:r>
              <w:rPr>
                <w:rFonts w:ascii="Times New Roman" w:hAnsi="Times New Roman" w:eastAsia="Times New Roman"/>
                <w:b/>
                <w:sz w:val="26"/>
              </w:rPr>
              <w:t>Tổng cộng</w:t>
            </w:r>
          </w:p>
        </w:tc>
        <w:tc>
          <w:tcPr>
            <w:tcW w:type="dxa" w:w="1800"/>
            <w:vAlign w:val="center"/>
          </w:tcPr>
          <w:p>
            <w:pPr>
              <w:jc w:val="center"/>
            </w:pPr>
            <w:r/>
            <w:r>
              <w:rPr>
                <w:rFonts w:ascii="Times New Roman" w:hAnsi="Times New Roman" w:eastAsia="Times New Roman"/>
                <w:b/>
                <w:color w:val="FF0000"/>
                <w:sz w:val="26"/>
              </w:rPr>
              <w:t>15</w:t>
            </w:r>
          </w:p>
        </w:tc>
        <w:tc>
          <w:tcPr>
            <w:tcW w:type="dxa" w:w="1800"/>
            <w:vAlign w:val="center"/>
          </w:tcPr>
          <w:p>
            <w:pPr>
              <w:jc w:val="center"/>
            </w:pPr>
            <w:r/>
            <w:r>
              <w:rPr>
                <w:rFonts w:ascii="Times New Roman" w:hAnsi="Times New Roman" w:eastAsia="Times New Roman"/>
                <w:b/>
                <w:sz w:val="26"/>
              </w:rPr>
            </w:r>
          </w:p>
        </w:tc>
        <w:tc>
          <w:tcPr>
            <w:tcW w:type="dxa" w:w="1800"/>
            <w:vAlign w:val="center"/>
          </w:tcPr>
          <w:p>
            <w:pPr>
              <w:jc w:val="center"/>
            </w:pPr>
            <w:r/>
            <w:r>
              <w:rPr>
                <w:rFonts w:ascii="Times New Roman" w:hAnsi="Times New Roman" w:eastAsia="Times New Roman"/>
                <w:b/>
                <w:sz w:val="26"/>
              </w:rPr>
            </w:r>
          </w:p>
        </w:tc>
        <w:tc>
          <w:tcPr>
            <w:tcW w:type="dxa" w:w="1800"/>
            <w:vAlign w:val="center"/>
          </w:tcPr>
          <w:p>
            <w:pPr>
              <w:jc w:val="center"/>
            </w:pPr>
            <w:r/>
            <w:r>
              <w:rPr>
                <w:rFonts w:ascii="Times New Roman" w:hAnsi="Times New Roman" w:eastAsia="Times New Roman"/>
                <w:b/>
                <w:sz w:val="26"/>
              </w:rPr>
            </w:r>
          </w:p>
        </w:tc>
        <w:tc>
          <w:tcPr>
            <w:tcW w:type="dxa" w:w="1800"/>
            <w:vAlign w:val="center"/>
          </w:tcPr>
          <w:p>
            <w:pPr>
              <w:jc w:val="center"/>
            </w:pPr>
            <w:r/>
            <w:r>
              <w:rPr>
                <w:rFonts w:ascii="Times New Roman" w:hAnsi="Times New Roman" w:eastAsia="Times New Roman"/>
                <w:b/>
                <w:sz w:val="26"/>
              </w:rPr>
            </w:r>
          </w:p>
        </w:tc>
      </w:tr>
    </w:tbl>
    <w:p>
      <w:pPr>
        <w:sectPr>
          <w:footerReference w:type="default" r:id="rId11"/>
          <w:pgSz w:w="11906" w:h="16838"/>
          <w:pgMar w:top="1417" w:right="1361" w:bottom="1134" w:left="1361" w:header="720" w:footer="720" w:gutter="0"/>
          <w:cols w:space="720"/>
          <w:docGrid w:linePitch="360"/>
        </w:sectPr>
      </w:pPr>
    </w:p>
    <w:p>
      <w:pPr>
        <w:spacing w:before="160" w:after="240" w:line="360" w:lineRule="auto"/>
        <w:jc w:val="left"/>
      </w:pPr>
      <w:r>
        <w:rPr>
          <w:rFonts w:ascii="Times New Roman" w:hAnsi="Times New Roman" w:eastAsia="Times New Roman"/>
          <w:b/>
          <w:sz w:val="34"/>
        </w:rPr>
        <w:t>CHƯƠNG 1: CƠ SỞ LÝ THUYẾT</w:t>
      </w:r>
    </w:p>
    <w:p>
      <w:pPr>
        <w:spacing w:before="0" w:after="40" w:line="360" w:lineRule="auto"/>
        <w:ind w:firstLine="567"/>
        <w:jc w:val="both"/>
      </w:pPr>
      <w:r>
        <w:rPr>
          <w:rFonts w:ascii="Times New Roman" w:hAnsi="Times New Roman" w:eastAsia="Times New Roman"/>
          <w:b w:val="0"/>
          <w:sz w:val="28"/>
        </w:rPr>
        <w:t>1.1. Đạo đức</w:t>
      </w:r>
    </w:p>
    <w:p>
      <w:pPr>
        <w:spacing w:before="0" w:after="40" w:line="360" w:lineRule="auto"/>
        <w:ind w:firstLine="567"/>
        <w:jc w:val="both"/>
      </w:pPr>
      <w:r>
        <w:rPr>
          <w:rFonts w:ascii="Times New Roman" w:hAnsi="Times New Roman" w:eastAsia="Times New Roman"/>
          <w:b w:val="0"/>
          <w:sz w:val="28"/>
        </w:rPr>
        <w:t>Đạo đức là một hình thái ý thức xã hội, bao gồm hệ thống các quy tắc, chuẩn mực nhằm điều chỉnh hành vi của con người trong các mối quan hệ xã hội. Đạo đức gắn với những vấn đề tốt – xấu, đúng – sai và chịu ảnh hưởng bởi văn hóa, tôn giáo, triết học cũng như luật lệ xã hội.</w:t>
      </w:r>
    </w:p>
    <w:p>
      <w:pPr>
        <w:spacing w:before="0" w:after="40" w:line="360" w:lineRule="auto"/>
        <w:ind w:firstLine="567"/>
        <w:jc w:val="both"/>
      </w:pPr>
      <w:r>
        <w:rPr>
          <w:rFonts w:ascii="Times New Roman" w:hAnsi="Times New Roman" w:eastAsia="Times New Roman"/>
          <w:b w:val="0"/>
          <w:sz w:val="28"/>
        </w:rPr>
        <w:t>Về nguồn gốc thuật ngữ, từ “ethics” bắt nguồn từ tiếng Hy Lạp “ethos”, mang nghĩa tập quán hoặc tính cách; còn “morality” có liên hệ với từ Latin “mores”, mang nghĩa phong tục hoặc cách ứng xử. Trong quan niệm phương Đông, đạo đức thường được hiểu là những nguyên tắc và phẩm chất hướng con người đến cách sống đúng đắn, phù hợp với lẽ phải và lợi ích chung.</w:t>
      </w:r>
    </w:p>
    <w:p>
      <w:pPr>
        <w:spacing w:before="0" w:after="40" w:line="360" w:lineRule="auto"/>
        <w:ind w:firstLine="567"/>
        <w:jc w:val="both"/>
      </w:pPr>
      <w:r>
        <w:rPr>
          <w:rFonts w:ascii="Times New Roman" w:hAnsi="Times New Roman" w:eastAsia="Times New Roman"/>
          <w:b w:val="0"/>
          <w:sz w:val="28"/>
        </w:rPr>
        <w:t>Đạo đức có một số đặc điểm cơ bản. Thứ nhất, đạo đức mang tính xã hội, vì nó được hình thành và thừa nhận trong đời sống cộng đồng. Thứ hai, đạo đức có tính lịch sử, tức là các chuẩn mực đạo đức có thể thay đổi tùy theo từng thời kỳ, từng điều kiện xã hội cụ thể. Thứ ba, đạo đức có tính tự giác, vì con người thực hiện các hành vi đạo đức không chỉ do bị ép buộc mà còn xuất phát từ ý thức, lương tâm và trách nhiệm cá nhân.</w:t>
      </w:r>
    </w:p>
    <w:p>
      <w:pPr>
        <w:spacing w:before="0" w:after="40" w:line="360" w:lineRule="auto"/>
        <w:ind w:firstLine="567"/>
        <w:jc w:val="both"/>
      </w:pPr>
      <w:r>
        <w:rPr>
          <w:rFonts w:ascii="Times New Roman" w:hAnsi="Times New Roman" w:eastAsia="Times New Roman"/>
          <w:b w:val="0"/>
          <w:sz w:val="28"/>
        </w:rPr>
        <w:t>Nhìn chung, đạo đức có vai trò điều chỉnh hành vi của con người theo những chuẩn mực được xã hội thừa nhận. Nhờ có đạo đức, con người biết sống trung thực, tôn trọng người khác, có trách nhiệm với bản thân, gia đình và cộng đồng.</w:t>
      </w:r>
    </w:p>
    <w:p>
      <w:pPr>
        <w:spacing w:before="0" w:after="40" w:line="360" w:lineRule="auto"/>
        <w:ind w:firstLine="567"/>
        <w:jc w:val="both"/>
      </w:pPr>
      <w:r>
        <w:rPr>
          <w:rFonts w:ascii="Times New Roman" w:hAnsi="Times New Roman" w:eastAsia="Times New Roman"/>
          <w:b w:val="0"/>
          <w:sz w:val="28"/>
        </w:rPr>
        <w:t>1.2. Đạo đức kinh doanh</w:t>
      </w:r>
    </w:p>
    <w:p>
      <w:pPr>
        <w:spacing w:before="0" w:after="40" w:line="360" w:lineRule="auto"/>
        <w:ind w:firstLine="567"/>
        <w:jc w:val="both"/>
      </w:pPr>
      <w:r>
        <w:rPr>
          <w:rFonts w:ascii="Times New Roman" w:hAnsi="Times New Roman" w:eastAsia="Times New Roman"/>
          <w:b w:val="0"/>
          <w:sz w:val="28"/>
        </w:rPr>
        <w:t>Đạo đức kinh doanh là việc vận dụng các nguyên tắc, chuẩn mực đạo đức vào hoạt động kinh doanh. Đây là tập hợp những quy tắc có tác dụng điều chỉnh, đánh giá, hướng dẫn và kiểm soát hành vi của các chủ thể kinh doanh.</w:t>
      </w:r>
    </w:p>
    <w:p>
      <w:pPr>
        <w:spacing w:before="0" w:after="40" w:line="360" w:lineRule="auto"/>
        <w:ind w:firstLine="567"/>
        <w:jc w:val="both"/>
      </w:pPr>
      <w:r>
        <w:rPr>
          <w:rFonts w:ascii="Times New Roman" w:hAnsi="Times New Roman" w:eastAsia="Times New Roman"/>
          <w:b w:val="0"/>
          <w:sz w:val="28"/>
        </w:rPr>
        <w:t>Đạo đức kinh doanh được xem là một dạng đạo đức nghề nghiệp, gắn liền với quá trình ra quyết định có trách nhiệm trong doanh nghiệp. Trong hoạt động kinh doanh, doanh nghiệp không chỉ quan tâm đến lợi nhuận mà còn phải chú ý đến quyền lợi của khách hàng, người lao động, đối tác, cộng đồng và xã hội. Các chuẩn mực cơ bản của đạo đức kinh doanh bao gồm: tính trung thực, tôn trọng con người, gắn lợi ích của doanh nghiệp với lợi ích của khách hàng và xã hội, bảo mật thông tin, trung thành với tổ chức và thực hiện trách nhiệm xã hội. Trong đó, trung thực là yêu cầu quan trọng vì doanh nghiệp cần cung cấp thông tin chính xác, không gian dối về chất lượng sản phẩm, giá cả hoặc dịch vụ. Tôn trọng con người thể hiện qua việc tôn trọng khách hàng, nhân viên và các bên liên quan. Ngoài ra, doanh nghiệp cần biết cân bằng giữa lợi ích kinh tế với trách nhiệm đối với xã hội.</w:t>
      </w:r>
    </w:p>
    <w:p>
      <w:pPr>
        <w:spacing w:before="0" w:after="40" w:line="360" w:lineRule="auto"/>
        <w:ind w:firstLine="567"/>
        <w:jc w:val="both"/>
      </w:pPr>
      <w:r>
        <w:rPr>
          <w:rFonts w:ascii="Times New Roman" w:hAnsi="Times New Roman" w:eastAsia="Times New Roman"/>
          <w:b w:val="0"/>
          <w:sz w:val="28"/>
        </w:rPr>
        <w:t>Đạo đức kinh doanh có vai trò rất quan trọng trong doanh nghiệp. Trước hết, nó giúp điều chỉnh hành vi của các chủ thể kinh doanh, góp phần nâng cao chất lượng hoạt động của doanh nghiệp. Bên cạnh đó, đạo đức kinh doanh còn tạo sự cam kết và tận tâm của nhân viên, làm hài lòng khách hàng, từ đó giúp doanh nghiệp tạo ra lợi nhuận và phát triển bền vững. Không chỉ vậy, đạo đức kinh doanh còn góp phần vào sự vững mạnh của nền kinh tế quốc gia.</w:t>
      </w:r>
    </w:p>
    <w:p>
      <w:pPr>
        <w:spacing w:before="0" w:after="40" w:line="360" w:lineRule="auto"/>
        <w:ind w:firstLine="567"/>
        <w:jc w:val="both"/>
      </w:pPr>
      <w:r>
        <w:rPr>
          <w:rFonts w:ascii="Times New Roman" w:hAnsi="Times New Roman" w:eastAsia="Times New Roman"/>
          <w:b w:val="0"/>
          <w:sz w:val="28"/>
        </w:rPr>
        <w:t>Việc nghiên cứu đạo đức kinh doanh có ý nghĩa quan trọng vì nó giúp doanh nghiệp đưa ra quyết định đúng đắn, có trách nhiệm với cá nhân và xã hội. Đồng thời, đạo đức kinh doanh còn giúp doanh nghiệp nhận thức được mối quan hệ giữa đạo đức và pháp luật, giữa lợi ích kinh tế và trách nhiệm xã hội trong thực tiễn kinh doanh.</w:t>
      </w:r>
    </w:p>
    <w:p>
      <w:pPr>
        <w:spacing w:before="0" w:after="40" w:line="360" w:lineRule="auto"/>
        <w:ind w:firstLine="567"/>
        <w:jc w:val="both"/>
      </w:pPr>
      <w:r>
        <w:rPr>
          <w:rFonts w:ascii="Times New Roman" w:hAnsi="Times New Roman" w:eastAsia="Times New Roman"/>
          <w:b w:val="0"/>
          <w:sz w:val="28"/>
        </w:rPr>
        <w:t>Các chuẩn mực đạo đức kinh doanh thường tập trung vào một số nội dung chính: trung thực và minh bạch trong thông tin, giá cả và chất lượng; tôn trọng, đối xử công bằng với khách hàng, người lao động và đối tác; tuân thủ pháp luật, có trách nhiệm với cộng đồng và môi trường; bảo mật thông tin, trung thành với tổ chức và không lợi dụng công việc để trục lợi. Đây là những yêu cầu cơ bản giúp doanh nghiệp hoạt động đúng đắn và tạo được sự tin cậy.</w:t>
      </w:r>
    </w:p>
    <w:p>
      <w:pPr>
        <w:spacing w:before="0" w:after="40" w:line="360" w:lineRule="auto"/>
        <w:ind w:firstLine="567"/>
        <w:jc w:val="both"/>
      </w:pPr>
      <w:r>
        <w:rPr>
          <w:rFonts w:ascii="Times New Roman" w:hAnsi="Times New Roman" w:eastAsia="Times New Roman"/>
          <w:b w:val="0"/>
          <w:sz w:val="28"/>
        </w:rPr>
        <w:t>1.3. Đạo đức kinh doanh trong ngành Nhà hàng – Khách sạn</w:t>
      </w:r>
    </w:p>
    <w:p>
      <w:pPr>
        <w:spacing w:before="0" w:after="40" w:line="360" w:lineRule="auto"/>
        <w:ind w:firstLine="567"/>
        <w:jc w:val="both"/>
      </w:pPr>
      <w:r>
        <w:rPr>
          <w:rFonts w:ascii="Times New Roman" w:hAnsi="Times New Roman" w:eastAsia="Times New Roman"/>
          <w:b w:val="0"/>
          <w:sz w:val="28"/>
        </w:rPr>
        <w:t>Ngành Nhà hàng – Khách sạn là lĩnh vực cung cấp các dịch vụ ăn uống, lưu trú và phục vụ khách hàng. Đây là ngành có sự tiếp xúc trực tiếp giữa doanh nghiệp, nhân viên và khách hàng, vì vậy đạo đức kinh doanh giữ vai trò rất quan trọng. Chất lượng của ngành này không chỉ được đánh giá qua cơ sở vật chất, món ăn hay phòng ở mà còn thể hiện qua thái độ phục vụ, sự trung thực và trách nhiệm của doanh nghiệp.</w:t>
      </w:r>
    </w:p>
    <w:p>
      <w:pPr>
        <w:spacing w:before="0" w:after="40" w:line="360" w:lineRule="auto"/>
        <w:ind w:firstLine="567"/>
        <w:jc w:val="both"/>
      </w:pPr>
      <w:r>
        <w:rPr>
          <w:rFonts w:ascii="Times New Roman" w:hAnsi="Times New Roman" w:eastAsia="Times New Roman"/>
          <w:b w:val="0"/>
          <w:sz w:val="28"/>
        </w:rPr>
        <w:t>Trong ngành Nhà hàng – Khách sạn, đạo đức kinh doanh trước hết thể hiện ở tính trung thực. Doanh nghiệp cần cung cấp đúng thông tin về giá cả, chất lượng dịch vụ, tiêu chuẩn phòng, món ăn và các chi phí phát sinh. Việc quảng cáo sai sự thật, tính phí không rõ ràng hoặc cung cấp dịch vụ không đúng như cam kết đều là những hành vi thiếu đạo đức. Bên cạnh đó, doanh nghiệp cần tôn trọng khách hàng. Khách hàng phải được phục vụ công bằng, lịch sự, không bị phân biệt đối xử và được đảm bảo quyền lợi khi sử dụng dịch vụ. Đối với nhà hàng, việc đảm bảo vệ sinh an toàn thực phẩm, sử dụng nguyên liệu rõ nguồn gốc và chế biến đúng quy trình là yêu cầu đạo đức cơ bản. Đối với khách sạn, doanh nghiệp cần đảm bảo phòng ở sạch sẽ, an toàn, đúng tiêu chuẩn và bảo mật thông tin cá nhân của khách hàng.</w:t>
      </w:r>
    </w:p>
    <w:p>
      <w:pPr>
        <w:spacing w:before="0" w:after="40" w:line="360" w:lineRule="auto"/>
        <w:ind w:firstLine="567"/>
        <w:jc w:val="both"/>
      </w:pPr>
      <w:r>
        <w:rPr>
          <w:rFonts w:ascii="Times New Roman" w:hAnsi="Times New Roman" w:eastAsia="Times New Roman"/>
          <w:b w:val="0"/>
          <w:sz w:val="28"/>
        </w:rPr>
        <w:t>Đạo đức kinh doanh trong ngành này còn thể hiện ở trách nhiệm với người lao động. Doanh nghiệp cần tạo môi trường làm việc phù hợp, trả lương đúng quy định, không bóc lột sức lao động và tôn trọng nhân viên. Khi nhân viên được đối xử công bằng, họ sẽ có thái độ phục vụ tốt hơn, góp phần nâng cao hình ảnh và chất lượng của doanh nghiệp.</w:t>
      </w:r>
    </w:p>
    <w:p>
      <w:pPr>
        <w:spacing w:before="0" w:after="40" w:line="360" w:lineRule="auto"/>
        <w:ind w:firstLine="567"/>
        <w:jc w:val="both"/>
      </w:pPr>
      <w:r>
        <w:rPr>
          <w:rFonts w:ascii="Times New Roman" w:hAnsi="Times New Roman" w:eastAsia="Times New Roman"/>
          <w:b w:val="0"/>
          <w:sz w:val="28"/>
        </w:rPr>
        <w:t>Ngoài ra, doanh nghiệp Nhà hàng – Khách sạn cũng cần có trách nhiệm với cộng đồng và môi trường. Các hoạt động như hạn chế rác thải, tiết kiệm điện nước, sử dụng nguyên liệu an toàn và tuân thủ quy định pháp luật sẽ giúp doanh nghiệp phát triển bền vững hơn.</w:t>
      </w:r>
    </w:p>
    <w:p>
      <w:pPr>
        <w:spacing w:before="0" w:after="40" w:line="360" w:lineRule="auto"/>
        <w:ind w:firstLine="567"/>
        <w:jc w:val="both"/>
      </w:pPr>
      <w:r>
        <w:rPr>
          <w:rFonts w:ascii="Times New Roman" w:hAnsi="Times New Roman" w:eastAsia="Times New Roman"/>
          <w:b w:val="0"/>
          <w:sz w:val="28"/>
        </w:rPr>
        <w:t>Trong ngành nhà hàng – khách sạn, khách hàng tiếp xúc trực tiếp với nhân viên và thường chỉ đánh giá được chất lượng sau khi đã sử dụng dịch vụ. Vì vậy, những sai sót về giá cả, vệ sinh thực phẩm, thái độ phục vụ, bảo mật thông tin hoặc xử lý khiếu nại đều dễ ảnh hưởng ngay đến trải nghiệm của khách. Do đó, đạo đức phải được thể hiện trong toàn bộ quá trình phục vụ, không chỉ ở kết quả cuối cùng.</w:t>
      </w:r>
    </w:p>
    <w:p>
      <w:pPr>
        <w:spacing w:before="0" w:after="40" w:line="360" w:lineRule="auto"/>
        <w:ind w:firstLine="567"/>
        <w:jc w:val="both"/>
      </w:pPr>
      <w:r>
        <w:rPr>
          <w:rFonts w:ascii="Times New Roman" w:hAnsi="Times New Roman" w:eastAsia="Times New Roman"/>
          <w:b w:val="0"/>
          <w:sz w:val="28"/>
        </w:rPr>
        <w:t>Doanh nghiệp cũng cần bảo vệ thông tin cá nhân của khách, chẳng hạn như số điện thoại, lịch trình hoặc dữ liệu thanh toán. Việc sử dụng hoặc để lộ những thông tin này sai mục đích có thể ảnh hưởng đến khách hàng và uy tín của doanh nghiệp. Trong nội bộ, doanh nghiệp cần kiểm soát các hành vi gian lận, nhận hoa hồng trái phép, phân biệt đối xử hoặc lợi dụng khách hàng và nhà cung cấp.</w:t>
      </w:r>
    </w:p>
    <w:p>
      <w:pPr>
        <w:spacing w:before="0" w:after="40" w:line="360" w:lineRule="auto"/>
        <w:ind w:firstLine="567"/>
        <w:jc w:val="both"/>
      </w:pPr>
      <w:r>
        <w:rPr>
          <w:rFonts w:ascii="Times New Roman" w:hAnsi="Times New Roman" w:eastAsia="Times New Roman"/>
          <w:b w:val="0"/>
          <w:sz w:val="28"/>
        </w:rPr>
        <w:t>Tóm lại, đạo đức kinh doanh trong ngành Nhà hàng – Khách sạn là yếu tố quan trọng giúp doanh nghiệp xây dựng uy tín, tạo niềm tin với khách hàng và duy trì sự phát triển lâu dài. Một doanh nghiệp hoạt động có đạo đức không chỉ mang lại lợi nhuận mà còn góp phần tạo ra giá trị tích cực cho xã hội.</w:t>
      </w:r>
    </w:p>
    <w:p>
      <w:pPr>
        <w:spacing w:before="160" w:after="240" w:line="360" w:lineRule="auto"/>
        <w:jc w:val="left"/>
      </w:pPr>
      <w:r>
        <w:rPr>
          <w:rFonts w:ascii="Times New Roman" w:hAnsi="Times New Roman" w:eastAsia="Times New Roman"/>
          <w:b/>
          <w:sz w:val="34"/>
        </w:rPr>
        <w:t>CHƯƠNG 2: CÁC VÍ DỤ THỰC TẾ</w:t>
      </w:r>
    </w:p>
    <w:p>
      <w:pPr>
        <w:spacing w:before="0" w:after="40" w:line="360" w:lineRule="auto"/>
        <w:ind w:firstLine="567"/>
        <w:jc w:val="both"/>
      </w:pPr>
      <w:r>
        <w:rPr>
          <w:rFonts w:ascii="Times New Roman" w:hAnsi="Times New Roman" w:eastAsia="Times New Roman"/>
          <w:b w:val="0"/>
          <w:sz w:val="28"/>
        </w:rPr>
        <w:t>2.1. Tổ hợp Khách sạn Mường Thanh và Căn hộ chung cư cao cấp Sơn Trà</w:t>
      </w:r>
    </w:p>
    <w:p>
      <w:pPr>
        <w:spacing w:before="0" w:after="40" w:line="360" w:lineRule="auto"/>
        <w:ind w:firstLine="567"/>
        <w:jc w:val="both"/>
      </w:pPr>
      <w:r>
        <w:rPr>
          <w:rFonts w:ascii="Times New Roman" w:hAnsi="Times New Roman" w:eastAsia="Times New Roman"/>
          <w:b w:val="0"/>
          <w:sz w:val="28"/>
        </w:rPr>
        <w:t>2.1.1. Giới thiệu doanh nghiệp và dịch vụ cung cấp</w:t>
      </w:r>
    </w:p>
    <w:p>
      <w:pPr>
        <w:spacing w:before="0" w:after="40" w:line="360" w:lineRule="auto"/>
        <w:ind w:firstLine="567"/>
        <w:jc w:val="both"/>
      </w:pPr>
      <w:r>
        <w:rPr>
          <w:rFonts w:ascii="Times New Roman" w:hAnsi="Times New Roman" w:eastAsia="Times New Roman"/>
          <w:b w:val="0"/>
          <w:sz w:val="28"/>
        </w:rPr>
        <w:t>Tập đoàn Khách sạn Mường Thanh được hình thành từ hoạt động kinh doanh khách sạn tại Điện Biên và phát triển thành một hệ thống lưu trú có mặt tại nhiều tỉnh, thành của Việt Nam. Hệ thống cung cấp dịch vụ lưu trú, ăn uống, hội nghị, sự kiện, chăm sóc sức khỏe và các tiện ích phục vụ khách du lịch. Trong phạm vi bài viết, trường hợp được nghiên cứu là Tổ hợp Khách sạn Mường Thanh và Căn hộ chung cư cao cấp Sơn Trà tại quận Ngũ Hành Sơn, thành phố Đà Nẵng.</w:t>
      </w:r>
    </w:p>
    <w:p>
      <w:pPr>
        <w:spacing w:before="0" w:after="40" w:line="360" w:lineRule="auto"/>
        <w:ind w:firstLine="567"/>
        <w:jc w:val="both"/>
      </w:pPr>
      <w:r>
        <w:rPr>
          <w:rFonts w:ascii="Times New Roman" w:hAnsi="Times New Roman" w:eastAsia="Times New Roman"/>
          <w:b w:val="0"/>
          <w:sz w:val="28"/>
        </w:rPr>
        <w:t>Dự án có tính chất hỗn hợp, kết hợp chức năng khách sạn và căn hộ. Vì vậy, chủ đầu tư không chỉ có trách nhiệm đối với khách lưu trú mà còn phải bảo đảm quyền lợi của người mua căn hộ, cư dân, cơ quan quản lý và cộng đồng xung quanh. Tính pháp lý của công trình, công năng từng tầng, điều kiện đưa công trình vào sử dụng và thông tin cung cấp cho người mua đều là những yếu tố gắn trực tiếp với đạo đức kinh doanh.</w:t>
      </w:r>
    </w:p>
    <w:p>
      <w:pPr>
        <w:spacing w:before="0" w:after="40" w:line="360" w:lineRule="auto"/>
        <w:ind w:firstLine="567"/>
        <w:jc w:val="both"/>
      </w:pPr>
      <w:r>
        <w:rPr>
          <w:rFonts w:ascii="Times New Roman" w:hAnsi="Times New Roman" w:eastAsia="Times New Roman"/>
          <w:b w:val="0"/>
          <w:sz w:val="28"/>
        </w:rPr>
        <w:t>Đối với một dự án lưu trú – căn hộ, sự trung thực không chỉ thể hiện ở quảng cáo hay cách phục vụ mà còn bắt đầu từ quyết định đầu tư, thiết kế, xin phép xây dựng và thực hiện đúng hồ sơ được phê duyệt. Khi doanh nghiệp thay đổi công năng hoặc kinh doanh sản phẩm chưa bảo đảm điều kiện pháp lý, rủi ro không còn nằm riêng ở doanh nghiệp mà được chuyển sang người mua và cư dân.</w:t>
      </w:r>
    </w:p>
    <w:p>
      <w:pPr>
        <w:spacing w:before="0" w:after="40" w:line="360" w:lineRule="auto"/>
        <w:ind w:firstLine="567"/>
        <w:jc w:val="both"/>
      </w:pPr>
      <w:r>
        <w:rPr>
          <w:rFonts w:ascii="Times New Roman" w:hAnsi="Times New Roman" w:eastAsia="Times New Roman"/>
          <w:b w:val="0"/>
          <w:sz w:val="28"/>
        </w:rPr>
        <w:t>2.1.2. Hành vi vi phạm đạo đức của doanh nghiệp</w:t>
      </w:r>
    </w:p>
    <w:p>
      <w:pPr>
        <w:spacing w:before="0" w:after="40" w:line="360" w:lineRule="auto"/>
        <w:ind w:firstLine="567"/>
        <w:jc w:val="both"/>
      </w:pPr>
      <w:r>
        <w:rPr>
          <w:rFonts w:ascii="Times New Roman" w:hAnsi="Times New Roman" w:eastAsia="Times New Roman"/>
          <w:b w:val="0"/>
          <w:sz w:val="28"/>
        </w:rPr>
        <w:t>a) Tự ý chuyển đổi công năng các tầng 2, 3, 4 và 5</w:t>
      </w:r>
    </w:p>
    <w:p>
      <w:pPr>
        <w:spacing w:before="0" w:after="40" w:line="360" w:lineRule="auto"/>
        <w:ind w:firstLine="567"/>
        <w:jc w:val="both"/>
      </w:pPr>
      <w:r>
        <w:rPr>
          <w:rFonts w:ascii="Times New Roman" w:hAnsi="Times New Roman" w:eastAsia="Times New Roman"/>
          <w:b w:val="0"/>
          <w:sz w:val="28"/>
        </w:rPr>
        <w:t>Theo giấy phép xây dựng, các tầng 2, 3, 4 và 5 được bố trí cho bãi đỗ xe, nhà trẻ, khu sinh hoạt cộng đồng và các dịch vụ phục vụ cư dân. Tuy nhiên, chủ đầu tư đã tự ý chia các tầng này thành 104 căn hộ để kinh doanh. Việc chuyển phần diện tích phục vụ hạ tầng và cộng đồng thành sản phẩm thương mại làm thay đổi thiết kế, mục đích sử dụng và quyền lợi mà cư dân đáng lẽ được hưởng.</w:t>
      </w:r>
    </w:p>
    <w:p>
      <w:pPr>
        <w:spacing w:before="0" w:after="40" w:line="360" w:lineRule="auto"/>
        <w:ind w:firstLine="567"/>
        <w:jc w:val="both"/>
      </w:pPr>
      <w:r>
        <w:rPr>
          <w:rFonts w:ascii="Times New Roman" w:hAnsi="Times New Roman" w:eastAsia="Times New Roman"/>
          <w:b w:val="0"/>
          <w:sz w:val="28"/>
        </w:rPr>
        <w:t>b) Tiếp tục hoàn thiện hạng mục sau khi đã bị xử phạt và yêu cầu dừng thi công</w:t>
      </w:r>
    </w:p>
    <w:p>
      <w:pPr>
        <w:spacing w:before="0" w:after="40" w:line="360" w:lineRule="auto"/>
        <w:ind w:firstLine="567"/>
        <w:jc w:val="both"/>
      </w:pPr>
      <w:r>
        <w:rPr>
          <w:rFonts w:ascii="Times New Roman" w:hAnsi="Times New Roman" w:eastAsia="Times New Roman"/>
          <w:b w:val="0"/>
          <w:sz w:val="28"/>
        </w:rPr>
        <w:t>Ngày 26 tháng 9 năm 2016, cơ quan thanh tra xây dựng đã xử phạt hành chính và yêu cầu dừng thi công phần công trình sai phép. Sau đó, một số hạng mục vẫn tiếp tục được hoàn thiện, khiến chính quyền địa phương phải ban hành quyết định đình chỉ. Xét về đạo đức, việc không kịp thời chấp hành yêu cầu xử lý làm gia tăng hậu quả, kéo dài thời gian giải quyết và thể hiện sự xem nhẹ trách nhiệm tuân thủ.</w:t>
      </w:r>
    </w:p>
    <w:p>
      <w:pPr>
        <w:spacing w:before="0" w:after="40" w:line="360" w:lineRule="auto"/>
        <w:ind w:firstLine="567"/>
        <w:jc w:val="both"/>
      </w:pPr>
      <w:r>
        <w:rPr>
          <w:rFonts w:ascii="Times New Roman" w:hAnsi="Times New Roman" w:eastAsia="Times New Roman"/>
          <w:b w:val="0"/>
          <w:sz w:val="28"/>
        </w:rPr>
        <w:t>c) Kinh doanh và bàn giao căn hộ hình thành từ phần công trình sai phép</w:t>
      </w:r>
    </w:p>
    <w:p>
      <w:pPr>
        <w:spacing w:before="0" w:after="40" w:line="360" w:lineRule="auto"/>
        <w:ind w:firstLine="567"/>
        <w:jc w:val="both"/>
      </w:pPr>
      <w:r>
        <w:rPr>
          <w:rFonts w:ascii="Times New Roman" w:hAnsi="Times New Roman" w:eastAsia="Times New Roman"/>
          <w:b w:val="0"/>
          <w:sz w:val="28"/>
        </w:rPr>
        <w:t>Mặc dù 104 căn hộ được hình thành từ việc chuyển đổi công năng chưa được công nhận hợp pháp, chủ đầu tư vẫn tiến hành giao dịch và bàn giao một số căn hộ cho người mua. Đến năm 2018 đã có 39 căn hộ được bàn giao để sử dụng. Hành vi này đặt người mua vào tình thế phải gánh rủi ro về quyền sở hữu, giấy chứng nhận và khả năng xử lý tài sản trong tương lai.</w:t>
      </w:r>
    </w:p>
    <w:p>
      <w:pPr>
        <w:spacing w:before="0" w:after="40" w:line="360" w:lineRule="auto"/>
        <w:ind w:firstLine="567"/>
        <w:jc w:val="both"/>
      </w:pPr>
      <w:r>
        <w:rPr>
          <w:rFonts w:ascii="Times New Roman" w:hAnsi="Times New Roman" w:eastAsia="Times New Roman"/>
          <w:b w:val="0"/>
          <w:sz w:val="28"/>
        </w:rPr>
        <w:t>d) Đưa công trình vào sử dụng khi chưa hoàn tất đầy đủ điều kiện pháp lý</w:t>
      </w:r>
    </w:p>
    <w:p>
      <w:pPr>
        <w:spacing w:before="0" w:after="40" w:line="360" w:lineRule="auto"/>
        <w:ind w:firstLine="567"/>
        <w:jc w:val="both"/>
      </w:pPr>
      <w:r>
        <w:rPr>
          <w:rFonts w:ascii="Times New Roman" w:hAnsi="Times New Roman" w:eastAsia="Times New Roman"/>
          <w:b w:val="0"/>
          <w:sz w:val="28"/>
        </w:rPr>
        <w:t>Công trình được đưa vào khai thác và có cư dân vào ở trong khi một số thủ tục nghiệm thu và điều kiện pháp lý vẫn chưa hoàn chỉnh. Việc đưa tài sản vào sử dụng trước khi đáp ứng đầy đủ yêu cầu có thể làm suy giảm khả năng kiểm soát an toàn, gây khó khăn cho quản lý nhà nước và khiến người mua hiểu rằng tài sản đã hoàn toàn hợp pháp trong khi thực tế chưa phải như vậy.</w:t>
      </w:r>
    </w:p>
    <w:p>
      <w:pPr>
        <w:spacing w:before="0" w:after="40" w:line="360" w:lineRule="auto"/>
        <w:ind w:firstLine="567"/>
        <w:jc w:val="both"/>
      </w:pPr>
      <w:r>
        <w:rPr>
          <w:rFonts w:ascii="Times New Roman" w:hAnsi="Times New Roman" w:eastAsia="Times New Roman"/>
          <w:b w:val="0"/>
          <w:sz w:val="28"/>
        </w:rPr>
        <w:t>e) Chậm thực hiện yêu cầu tháo dỡ phần công trình vi phạm</w:t>
      </w:r>
    </w:p>
    <w:p>
      <w:pPr>
        <w:spacing w:before="0" w:after="40" w:line="360" w:lineRule="auto"/>
        <w:ind w:firstLine="567"/>
        <w:jc w:val="both"/>
      </w:pPr>
      <w:r>
        <w:rPr>
          <w:rFonts w:ascii="Times New Roman" w:hAnsi="Times New Roman" w:eastAsia="Times New Roman"/>
          <w:b w:val="0"/>
          <w:sz w:val="28"/>
        </w:rPr>
        <w:t>Ngày 16 tháng 4 năm 2018, UBND quận Ngũ Hành Sơn yêu cầu chủ đầu tư tự tháo dỡ các căn hộ được xây dựng trái phép trong thời hạn quy định để hoàn trả công năng. Quá trình thực hiện kéo dài và chính quyền phải xây dựng phương án cưỡng chế. Việc chậm khắc phục làm gia tăng chi phí quản lý, kéo dài tâm lý bất an của cư dân và gây ảnh hưởng đến tính nghiêm minh của quy định xây dựng.</w:t>
      </w:r>
    </w:p>
    <w:p>
      <w:pPr>
        <w:spacing w:before="0" w:after="40" w:line="360" w:lineRule="auto"/>
        <w:ind w:firstLine="567"/>
        <w:jc w:val="both"/>
      </w:pPr>
      <w:r>
        <w:rPr>
          <w:rFonts w:ascii="Times New Roman" w:hAnsi="Times New Roman" w:eastAsia="Times New Roman"/>
          <w:b w:val="0"/>
          <w:sz w:val="28"/>
        </w:rPr>
        <w:t>f) Xây dựng thêm nhiều hạng mục không đúng giấy phép</w:t>
      </w:r>
    </w:p>
    <w:p>
      <w:pPr>
        <w:spacing w:before="0" w:after="40" w:line="360" w:lineRule="auto"/>
        <w:ind w:firstLine="567"/>
        <w:jc w:val="both"/>
      </w:pPr>
      <w:r>
        <w:rPr>
          <w:rFonts w:ascii="Times New Roman" w:hAnsi="Times New Roman" w:eastAsia="Times New Roman"/>
          <w:b w:val="0"/>
          <w:sz w:val="28"/>
        </w:rPr>
        <w:t>Ngoài 104 căn hộ chuyển đổi công năng, cơ quan quản lý còn ghi nhận sai phạm tại các tầng 25, 35, 41, 42, hai tầng kỹ thuật và tầng mái. Việc xuất hiện sai phạm ở nhiều vị trí cho thấy vấn đề liên quan đến quản trị dự án và cơ chế kiểm soát nội bộ, chứ không chỉ là nhầm lẫn trong một hạng mục riêng lẻ.</w:t>
      </w:r>
    </w:p>
    <w:p>
      <w:pPr>
        <w:spacing w:before="0" w:after="40" w:line="360" w:lineRule="auto"/>
        <w:ind w:firstLine="567"/>
        <w:jc w:val="both"/>
      </w:pPr>
      <w:r>
        <w:rPr>
          <w:rFonts w:ascii="Times New Roman" w:hAnsi="Times New Roman" w:eastAsia="Times New Roman"/>
          <w:b w:val="0"/>
          <w:sz w:val="28"/>
        </w:rPr>
        <w:t>Các hành vi trên xảy ra tại Tổ hợp Khách sạn Mường Thanh và Căn hộ chung cư cao cấp Sơn Trà, quận Ngũ Hành Sơn, thành phố Đà Nẵng. Sai phạm được phát hiện từ năm 2016 và quá trình tháo dỡ, hoàn trả công năng tiếp tục kéo dài trong những năm sau đó.</w:t>
      </w:r>
    </w:p>
    <w:p>
      <w:pPr>
        <w:spacing w:before="0" w:after="40" w:line="360" w:lineRule="auto"/>
        <w:ind w:firstLine="567"/>
        <w:jc w:val="both"/>
      </w:pPr>
      <w:r>
        <w:rPr>
          <w:rFonts w:ascii="Times New Roman" w:hAnsi="Times New Roman" w:eastAsia="Times New Roman"/>
          <w:b w:val="0"/>
          <w:sz w:val="28"/>
        </w:rPr>
        <w:t>2.1.3. Hậu quả mà người mua căn hộ và cư dân phải chịu</w:t>
      </w:r>
    </w:p>
    <w:p>
      <w:pPr>
        <w:spacing w:before="0" w:after="40" w:line="360" w:lineRule="auto"/>
        <w:ind w:firstLine="567"/>
        <w:jc w:val="both"/>
      </w:pPr>
      <w:r>
        <w:rPr>
          <w:rFonts w:ascii="Times New Roman" w:hAnsi="Times New Roman" w:eastAsia="Times New Roman"/>
          <w:b w:val="0"/>
          <w:sz w:val="28"/>
        </w:rPr>
        <w:t>Nhóm chịu ảnh hưởng trực tiếp nhất là những người mua hoặc nhận bàn giao căn hộ nằm trong phần công trình sai phép. Khi căn hộ được hình thành từ việc chuyển đổi công năng không đúng hồ sơ được duyệt, người mua có nguy cơ gặp khó khăn trong việc xác lập quyền sở hữu và hoàn thiện giấy tờ pháp lý. Họ đã bỏ ra khoản tiền lớn nhưng quyền đối với tài sản lại phụ thuộc vào phương án xử lý của cơ quan nhà nước và chủ đầu tư.</w:t>
      </w:r>
    </w:p>
    <w:p>
      <w:pPr>
        <w:spacing w:before="0" w:after="40" w:line="360" w:lineRule="auto"/>
        <w:ind w:firstLine="567"/>
        <w:jc w:val="both"/>
      </w:pPr>
      <w:r>
        <w:rPr>
          <w:rFonts w:ascii="Times New Roman" w:hAnsi="Times New Roman" w:eastAsia="Times New Roman"/>
          <w:b w:val="0"/>
          <w:sz w:val="28"/>
        </w:rPr>
        <w:t>Người mua còn có thể gặp trở ngại khi chuyển nhượng, thế chấp, cho thuê hoặc sử dụng căn hộ làm tài sản bảo đảm. Trong trường hợp chủ đầu tư phải mua lại căn hộ để tháo dỡ, hai bên có thể phát sinh bất đồng về giá mua lại, chi phí di chuyển, thiệt hại trong thời gian chờ xử lý và các quyền lợi liên quan. Thời gian giải quyết kéo dài khiến người mua phải tốn thêm công sức làm việc với doanh nghiệp, cơ quan quản lý hoặc tư vấn pháp lý.</w:t>
      </w:r>
    </w:p>
    <w:p>
      <w:pPr>
        <w:spacing w:before="0" w:after="40" w:line="360" w:lineRule="auto"/>
        <w:ind w:firstLine="567"/>
        <w:jc w:val="both"/>
      </w:pPr>
      <w:r>
        <w:rPr>
          <w:rFonts w:ascii="Times New Roman" w:hAnsi="Times New Roman" w:eastAsia="Times New Roman"/>
          <w:b w:val="0"/>
          <w:sz w:val="28"/>
        </w:rPr>
        <w:t>Cư dân toàn tòa nhà cũng chịu ảnh hưởng dù không trực tiếp sở hữu căn hộ sai phạm. Hoạt động tháo dỡ trong công trình đang có người ở có thể gây tiếng ồn, bụi, hạn chế lối đi và làm xáo trộn sinh hoạt. Việc phần diện tích vốn dành cho bãi đỗ xe, nhà trẻ hoặc sinh hoạt cộng đồng bị chuyển thành căn hộ còn làm giảm tiện ích chung và chất lượng sống của cộng đồng cư dân.</w:t>
      </w:r>
    </w:p>
    <w:p>
      <w:pPr>
        <w:spacing w:before="0" w:after="40" w:line="360" w:lineRule="auto"/>
        <w:ind w:firstLine="567"/>
        <w:jc w:val="both"/>
      </w:pPr>
      <w:r>
        <w:rPr>
          <w:rFonts w:ascii="Times New Roman" w:hAnsi="Times New Roman" w:eastAsia="Times New Roman"/>
          <w:b w:val="0"/>
          <w:sz w:val="28"/>
        </w:rPr>
        <w:t>Hậu quả tinh thần thể hiện ở tâm lý lo lắng về giá trị tài sản, sự ổn định trong cư trú và khả năng xử lý công trình. Sự việc kéo dài trong nhiều năm làm suy giảm niềm tin vào chủ đầu tư và khiến cư dân luôn ở trong trạng thái chờ đợi. Đây là thiệt hại khó quy đổi thành tiền nhưng ảnh hưởng rõ rệt đến đời sống và cảm giác an toàn của người dân.</w:t>
      </w:r>
    </w:p>
    <w:p>
      <w:pPr>
        <w:spacing w:before="0" w:after="40" w:line="360" w:lineRule="auto"/>
        <w:ind w:firstLine="567"/>
        <w:jc w:val="both"/>
      </w:pPr>
      <w:r>
        <w:rPr>
          <w:rFonts w:ascii="Times New Roman" w:hAnsi="Times New Roman" w:eastAsia="Times New Roman"/>
          <w:b w:val="0"/>
          <w:sz w:val="28"/>
        </w:rPr>
        <w:t>2.1.4. Hậu quả mà doanh nghiệp phải chịu</w:t>
      </w:r>
    </w:p>
    <w:p>
      <w:pPr>
        <w:spacing w:before="0" w:after="40" w:line="360" w:lineRule="auto"/>
        <w:ind w:firstLine="567"/>
        <w:jc w:val="both"/>
      </w:pPr>
      <w:r>
        <w:rPr>
          <w:rFonts w:ascii="Times New Roman" w:hAnsi="Times New Roman" w:eastAsia="Times New Roman"/>
          <w:b w:val="0"/>
          <w:sz w:val="28"/>
        </w:rPr>
        <w:t>Chủ đầu tư phải thực hiện biện pháp khắc phục đối với các hạng mục xây dựng sai phép và hoàn trả công năng theo hồ sơ được phê duyệt. Khi công trình đã hoàn thiện và có người sử dụng, việc tháo dỡ hoặc cải tạo trở nên phức tạp, đòi hỏi phương án kỹ thuật, bảo đảm an toàn và phối hợp với cư dân.</w:t>
      </w:r>
    </w:p>
    <w:p>
      <w:pPr>
        <w:spacing w:before="0" w:after="40" w:line="360" w:lineRule="auto"/>
        <w:ind w:firstLine="567"/>
        <w:jc w:val="both"/>
      </w:pPr>
      <w:r>
        <w:rPr>
          <w:rFonts w:ascii="Times New Roman" w:hAnsi="Times New Roman" w:eastAsia="Times New Roman"/>
          <w:b w:val="0"/>
          <w:sz w:val="28"/>
        </w:rPr>
        <w:t>Doanh nghiệp phải chịu chi phí mua lại căn hộ đã bán, tháo dỡ tường ngăn, hoàn trả mặt bằng, tư vấn pháp lý và quản lý thi công. Đến năm 2024, chủ đầu tư đã mua lại và tháo dỡ 86 căn hộ sai phạm. Tổng chi phí thực tế không chỉ gồm tiền phạt mà còn bao gồm chi phí nhân lực, kỹ thuật, an toàn, quản lý và thời gian xử lý kéo dài.</w:t>
      </w:r>
    </w:p>
    <w:p>
      <w:pPr>
        <w:spacing w:before="0" w:after="40" w:line="360" w:lineRule="auto"/>
        <w:ind w:firstLine="567"/>
        <w:jc w:val="both"/>
      </w:pPr>
      <w:r>
        <w:rPr>
          <w:rFonts w:ascii="Times New Roman" w:hAnsi="Times New Roman" w:eastAsia="Times New Roman"/>
          <w:b w:val="0"/>
          <w:sz w:val="28"/>
        </w:rPr>
        <w:t>Hoạt động khai thác và đầu tư cũng bị ảnh hưởng vì một phần tài sản không thể sử dụng theo kế hoạch kinh doanh ban đầu. Nguồn vốn và nhân sự quản lý phải chuyển sang xử lý sai phạm; doanh nghiệp phải báo cáo tiến độ, làm việc nhiều lần với cơ quan quản lý và chịu sự giám sát chặt chẽ hơn.</w:t>
      </w:r>
    </w:p>
    <w:p>
      <w:pPr>
        <w:spacing w:before="0" w:after="40" w:line="360" w:lineRule="auto"/>
        <w:ind w:firstLine="567"/>
        <w:jc w:val="both"/>
      </w:pPr>
      <w:r>
        <w:rPr>
          <w:rFonts w:ascii="Times New Roman" w:hAnsi="Times New Roman" w:eastAsia="Times New Roman"/>
          <w:b w:val="0"/>
          <w:sz w:val="28"/>
        </w:rPr>
        <w:t>Hậu quả lớn khác là tổn hại uy tín thương hiệu. Mường Thanh có độ nhận diện cao nên thông tin về xây dựng sai phép, bàn giao căn hộ sai công năng và quá trình tháo dỡ kéo dài dễ tạo ấn tượng tiêu cực. Khách hàng và đối tác có thể đặt câu hỏi về tính minh bạch, năng lực quản trị và mức độ tôn trọng pháp luật của doanh nghiệp.</w:t>
      </w:r>
    </w:p>
    <w:p>
      <w:pPr>
        <w:spacing w:before="0" w:after="40" w:line="360" w:lineRule="auto"/>
        <w:ind w:firstLine="567"/>
        <w:jc w:val="both"/>
      </w:pPr>
      <w:r>
        <w:rPr>
          <w:rFonts w:ascii="Times New Roman" w:hAnsi="Times New Roman" w:eastAsia="Times New Roman"/>
          <w:b w:val="0"/>
          <w:sz w:val="28"/>
        </w:rPr>
        <w:t>2.2. Nhà hàng Mỹ Hạnh Seafood</w:t>
      </w:r>
    </w:p>
    <w:p>
      <w:pPr>
        <w:spacing w:before="0" w:after="40" w:line="360" w:lineRule="auto"/>
        <w:ind w:firstLine="567"/>
        <w:jc w:val="both"/>
      </w:pPr>
      <w:r>
        <w:rPr>
          <w:rFonts w:ascii="Times New Roman" w:hAnsi="Times New Roman" w:eastAsia="Times New Roman"/>
          <w:b w:val="0"/>
          <w:sz w:val="28"/>
        </w:rPr>
        <w:t>2.2.1. Giới thiệu doanh nghiệp và dịch vụ cung cấp</w:t>
      </w:r>
    </w:p>
    <w:p>
      <w:pPr>
        <w:spacing w:before="0" w:after="40" w:line="360" w:lineRule="auto"/>
        <w:ind w:firstLine="567"/>
        <w:jc w:val="both"/>
      </w:pPr>
      <w:r>
        <w:rPr>
          <w:rFonts w:ascii="Times New Roman" w:hAnsi="Times New Roman" w:eastAsia="Times New Roman"/>
          <w:b w:val="0"/>
          <w:sz w:val="28"/>
        </w:rPr>
        <w:t>Mỹ Hạnh Seafood là nhà hàng hải sản hoạt động lâu năm tại thành phố Đà Nẵng, phục vụ hải sản tươi sống, tiệc gia đình, khách đoàn và khách du lịch. Nhà hàng nằm trên tuyến đường Võ Nguyên Giáp, khu vực ven biển có mật độ du lịch cao. Với mô hình kinh doanh hải sản theo loại, kích cỡ, trọng lượng và thời giá, việc tư vấn, cân đo, xác nhận giá và lập hóa đơn minh bạch có ý nghĩa đặc biệt quan trọng.</w:t>
      </w:r>
    </w:p>
    <w:p>
      <w:pPr>
        <w:spacing w:before="0" w:after="40" w:line="360" w:lineRule="auto"/>
        <w:ind w:firstLine="567"/>
        <w:jc w:val="both"/>
      </w:pPr>
      <w:r>
        <w:rPr>
          <w:rFonts w:ascii="Times New Roman" w:hAnsi="Times New Roman" w:eastAsia="Times New Roman"/>
          <w:b w:val="0"/>
          <w:sz w:val="28"/>
        </w:rPr>
        <w:t>Bên cạnh chất lượng món ăn và thái độ phục vụ, nhà hàng còn phải chịu trách nhiệm đối với hoạt động phía sau như vệ sinh, thoát nước, xử lý chất thải và ảnh hưởng đến khu vực công cộng. Vì vậy, trường hợp Mỹ Hạnh được xem xét trên cả hai phương diện: giao tiếp minh bạch với khách hàng và trách nhiệm môi trường trong quá trình vận hành.</w:t>
      </w:r>
    </w:p>
    <w:p>
      <w:pPr>
        <w:spacing w:before="0" w:after="40" w:line="360" w:lineRule="auto"/>
        <w:ind w:firstLine="567"/>
        <w:jc w:val="both"/>
      </w:pPr>
      <w:r>
        <w:rPr>
          <w:rFonts w:ascii="Times New Roman" w:hAnsi="Times New Roman" w:eastAsia="Times New Roman"/>
          <w:b w:val="0"/>
          <w:sz w:val="28"/>
        </w:rPr>
        <w:t>2.2.2. Các sự việc đặt ra vấn đề đạo đức kinh doanh</w:t>
      </w:r>
    </w:p>
    <w:p>
      <w:pPr>
        <w:spacing w:before="0" w:after="40" w:line="360" w:lineRule="auto"/>
        <w:ind w:firstLine="567"/>
        <w:jc w:val="both"/>
      </w:pPr>
      <w:r>
        <w:rPr>
          <w:rFonts w:ascii="Times New Roman" w:hAnsi="Times New Roman" w:eastAsia="Times New Roman"/>
          <w:b w:val="0"/>
          <w:sz w:val="28"/>
        </w:rPr>
        <w:t>a) Tranh cãi về hóa đơn hải sản hơn 85 triệu đồng</w:t>
      </w:r>
    </w:p>
    <w:p>
      <w:pPr>
        <w:spacing w:before="0" w:after="40" w:line="360" w:lineRule="auto"/>
        <w:ind w:firstLine="567"/>
        <w:jc w:val="both"/>
      </w:pPr>
      <w:r>
        <w:rPr>
          <w:rFonts w:ascii="Times New Roman" w:hAnsi="Times New Roman" w:eastAsia="Times New Roman"/>
          <w:b w:val="0"/>
          <w:sz w:val="28"/>
        </w:rPr>
        <w:t>Ngày 16 tháng 8 năm 2019, mạng xã hội xuất hiện bài đăng chia sẻ hóa đơn một bữa ăn tại nhà hàng Mỹ Hạnh với tổng giá trị hơn 85 triệu đồng. Người đăng cho rằng mức giá quá cao và sử dụng cụm từ “chặt chém”. Nội dung nhanh chóng lan truyền và tạo ra nhiều ý kiến tranh luận về cách niêm yết, tư vấn và xác nhận giá đối với khách du lịch.</w:t>
      </w:r>
    </w:p>
    <w:p>
      <w:pPr>
        <w:spacing w:before="0" w:after="40" w:line="360" w:lineRule="auto"/>
        <w:ind w:firstLine="567"/>
        <w:jc w:val="both"/>
      </w:pPr>
      <w:r>
        <w:rPr>
          <w:rFonts w:ascii="Times New Roman" w:hAnsi="Times New Roman" w:eastAsia="Times New Roman"/>
          <w:b w:val="0"/>
          <w:sz w:val="28"/>
        </w:rPr>
        <w:t>Phía nhà hàng sau đó giải thích đoàn khách có khoảng 50 người, lựa chọn nhiều loại hải sản có giá cao; giá được niêm yết, khách được xem và lựa chọn trực tiếp trước khi chế biến. Tài liệu hiện có không cho thấy cơ quan chức năng kết luận nhà hàng gian lận hoặc “chặt chém”. Vì vậy, sự việc này cần được trình bày là tranh cãi về mức giá và cách truyền đạt thông tin, không phải một hành vi vi phạm đã được xác định.</w:t>
      </w:r>
    </w:p>
    <w:p>
      <w:pPr>
        <w:spacing w:before="0" w:after="40" w:line="360" w:lineRule="auto"/>
        <w:ind w:firstLine="567"/>
        <w:jc w:val="both"/>
      </w:pPr>
      <w:r>
        <w:rPr>
          <w:rFonts w:ascii="Times New Roman" w:hAnsi="Times New Roman" w:eastAsia="Times New Roman"/>
          <w:b w:val="0"/>
          <w:sz w:val="28"/>
        </w:rPr>
        <w:t>Dưới góc độ đạo đức kinh doanh, niêm yết đơn giá chưa phải là toàn bộ nghĩa vụ minh bạch. Đối với món có giá cao và tính theo trọng lượng, nhà hàng cần xác nhận rõ trọng lượng, đơn giá, phí chế biến, số lượng và tổng tiền ước tính trước khi chế biến. Việc giúp khách hiểu đầy đủ chi phí là cách tôn trọng quyền lựa chọn và hạn chế tranh chấp.</w:t>
      </w:r>
    </w:p>
    <w:p>
      <w:pPr>
        <w:spacing w:before="0" w:after="40" w:line="360" w:lineRule="auto"/>
        <w:ind w:firstLine="567"/>
        <w:jc w:val="both"/>
      </w:pPr>
      <w:r>
        <w:rPr>
          <w:rFonts w:ascii="Times New Roman" w:hAnsi="Times New Roman" w:eastAsia="Times New Roman"/>
          <w:b w:val="0"/>
          <w:sz w:val="28"/>
        </w:rPr>
        <w:t>b) Không tuân thủ đúng quy định kỹ thuật về đấu nối nước thải</w:t>
      </w:r>
    </w:p>
    <w:p>
      <w:pPr>
        <w:spacing w:before="0" w:after="40" w:line="360" w:lineRule="auto"/>
        <w:ind w:firstLine="567"/>
        <w:jc w:val="both"/>
      </w:pPr>
      <w:r>
        <w:rPr>
          <w:rFonts w:ascii="Times New Roman" w:hAnsi="Times New Roman" w:eastAsia="Times New Roman"/>
          <w:b w:val="0"/>
          <w:sz w:val="28"/>
        </w:rPr>
        <w:t>Tháng 5 năm 2025, sau phản ánh của người dân về mùi hôi trên đường Võ Nguyên Giáp, cơ quan chuyên môn kiểm tra và xác định nguyên nhân chính liên quan đến hệ thống đấu nối nước thải của nhà hàng. Nước thải sau xử lý sơ bộ vẫn chứa vật liệu như giá thể nhựa và than hoạt tính, làm tắc đường ống dẫn từ trạm bơm Mỹ Hạnh đến trạm bơm Mỹ Khê. Tình trạng này khiến nước thải tràn lên vỉa hè và phát sinh mùi hôi tại khu vực ven biển.</w:t>
      </w:r>
    </w:p>
    <w:p>
      <w:pPr>
        <w:spacing w:before="0" w:after="40" w:line="360" w:lineRule="auto"/>
        <w:ind w:firstLine="567"/>
        <w:jc w:val="both"/>
      </w:pPr>
      <w:r>
        <w:rPr>
          <w:rFonts w:ascii="Times New Roman" w:hAnsi="Times New Roman" w:eastAsia="Times New Roman"/>
          <w:b w:val="0"/>
          <w:sz w:val="28"/>
        </w:rPr>
        <w:t>Khác với tranh cãi hóa đơn, vấn đề đấu nối nước thải đã được cơ quan chuyên môn xác định. Xét về đạo đức kinh doanh, doanh nghiệp hưởng lợi từ vị trí ven biển và lượng khách du lịch nên có nghĩa vụ vận hành hệ thống nước thải đúng kỹ thuật, không chuyển chi phí ô nhiễm, mùi hôi và bất tiện sang người dân, du khách hoặc các cơ sở lân cận.</w:t>
      </w:r>
    </w:p>
    <w:p>
      <w:pPr>
        <w:spacing w:before="0" w:after="40" w:line="360" w:lineRule="auto"/>
        <w:ind w:firstLine="567"/>
        <w:jc w:val="both"/>
      </w:pPr>
      <w:r>
        <w:rPr>
          <w:rFonts w:ascii="Times New Roman" w:hAnsi="Times New Roman" w:eastAsia="Times New Roman"/>
          <w:b w:val="0"/>
          <w:sz w:val="28"/>
        </w:rPr>
        <w:t>Cần phân biệt hai sự việc này. Vụ hóa đơn mới dừng ở mức tranh cãi và chưa có kết luận nhà hàng gian lận. Trong khi đó, vấn đề đấu nối nước thải đã được cơ quan chuyên môn xác định.</w:t>
      </w:r>
    </w:p>
    <w:p>
      <w:pPr>
        <w:spacing w:before="0" w:after="40" w:line="360" w:lineRule="auto"/>
        <w:ind w:firstLine="567"/>
        <w:jc w:val="both"/>
      </w:pPr>
      <w:r>
        <w:rPr>
          <w:rFonts w:ascii="Times New Roman" w:hAnsi="Times New Roman" w:eastAsia="Times New Roman"/>
          <w:b w:val="0"/>
          <w:sz w:val="28"/>
        </w:rPr>
        <w:t>2.2.3. Hậu quả mà khách hàng và cộng đồng phải chịu</w:t>
      </w:r>
    </w:p>
    <w:p>
      <w:pPr>
        <w:spacing w:before="0" w:after="40" w:line="360" w:lineRule="auto"/>
        <w:ind w:firstLine="567"/>
        <w:jc w:val="both"/>
      </w:pPr>
      <w:r>
        <w:rPr>
          <w:rFonts w:ascii="Times New Roman" w:hAnsi="Times New Roman" w:eastAsia="Times New Roman"/>
          <w:b w:val="0"/>
          <w:sz w:val="28"/>
        </w:rPr>
        <w:t>Trong tranh cãi hóa đơn, khách hàng phải thanh toán khoản tiền lớn theo các món đã sử dụng và cảm thấy bất ngờ, bức xúc về tổng chi phí. Do chưa có kết luận chính thức về gian lận, không thể khẳng định khách hàng bị chiếm đoạt. Hậu quả phù hợp để ghi nhận là trải nghiệm tiêu cực, cảm giác thiếu an tâm và sự suy giảm niềm tin vào quy trình tư vấn giá.</w:t>
      </w:r>
    </w:p>
    <w:p>
      <w:pPr>
        <w:spacing w:before="0" w:after="40" w:line="360" w:lineRule="auto"/>
        <w:ind w:firstLine="567"/>
        <w:jc w:val="both"/>
      </w:pPr>
      <w:r>
        <w:rPr>
          <w:rFonts w:ascii="Times New Roman" w:hAnsi="Times New Roman" w:eastAsia="Times New Roman"/>
          <w:b w:val="0"/>
          <w:sz w:val="28"/>
        </w:rPr>
        <w:t>Những khách hàng khác và cộng đồng mạng cũng chịu ảnh hưởng bởi các thông tin trái chiều. Một bên là phản ánh về hóa đơn, một bên là giải thích của nhà hàng về số lượng người và loại hải sản. Khi thông tin không được trình bày đủ bối cảnh, công chúng dễ hình thành tâm lý hoang mang về giá cả tại điểm du lịch và có thể đánh giá cả thị trường từ một trường hợp riêng lẻ.</w:t>
      </w:r>
    </w:p>
    <w:p>
      <w:pPr>
        <w:spacing w:before="0" w:after="40" w:line="360" w:lineRule="auto"/>
        <w:ind w:firstLine="567"/>
        <w:jc w:val="both"/>
      </w:pPr>
      <w:r>
        <w:rPr>
          <w:rFonts w:ascii="Times New Roman" w:hAnsi="Times New Roman" w:eastAsia="Times New Roman"/>
          <w:b w:val="0"/>
          <w:sz w:val="28"/>
        </w:rPr>
        <w:t>Đối với hệ thống nước thải, nhóm chịu ảnh hưởng rộng hơn gồm người dân, người đi bộ, du khách và các cơ sở kinh doanh trên tuyến ven biển. Nước thải tràn lên vỉa hè và mùi hôi làm giảm chất lượng không gian công cộng, gây khó chịu và ảnh hưởng đến trải nghiệm du lịch. Các doanh nghiệp lân cận có thể chịu tác động gián tiếp khi khách hạn chế lưu lại tại khu vực.</w:t>
      </w:r>
    </w:p>
    <w:p>
      <w:pPr>
        <w:spacing w:before="0" w:after="40" w:line="360" w:lineRule="auto"/>
        <w:ind w:firstLine="567"/>
        <w:jc w:val="both"/>
      </w:pPr>
      <w:r>
        <w:rPr>
          <w:rFonts w:ascii="Times New Roman" w:hAnsi="Times New Roman" w:eastAsia="Times New Roman"/>
          <w:b w:val="0"/>
          <w:sz w:val="28"/>
        </w:rPr>
        <w:t>Hậu quả trong trường hợp Mỹ Hạnh chủ yếu là ảnh hưởng đến trải nghiệm, sự an tâm, chất lượng môi trường và niềm tin vào dịch vụ. Không có căn cứ để khẳng định đã xảy ra thiệt hại sức khỏe cụ thể hoặc toàn bộ giá trị hóa đơn là thiệt hại do vi phạm. Việc trình bày đúng mức độ như vậy giúp bài viết vừa đầy đủ vừa chính xác.</w:t>
      </w:r>
    </w:p>
    <w:p>
      <w:pPr>
        <w:spacing w:before="0" w:after="40" w:line="360" w:lineRule="auto"/>
        <w:ind w:firstLine="567"/>
        <w:jc w:val="both"/>
      </w:pPr>
      <w:r>
        <w:rPr>
          <w:rFonts w:ascii="Times New Roman" w:hAnsi="Times New Roman" w:eastAsia="Times New Roman"/>
          <w:b w:val="0"/>
          <w:sz w:val="28"/>
        </w:rPr>
        <w:t>2.2.4. Hậu quả mà doanh nghiệp phải chịu</w:t>
      </w:r>
    </w:p>
    <w:p>
      <w:pPr>
        <w:spacing w:before="0" w:after="40" w:line="360" w:lineRule="auto"/>
        <w:ind w:firstLine="567"/>
        <w:jc w:val="both"/>
      </w:pPr>
      <w:r>
        <w:rPr>
          <w:rFonts w:ascii="Times New Roman" w:hAnsi="Times New Roman" w:eastAsia="Times New Roman"/>
          <w:b w:val="0"/>
          <w:sz w:val="28"/>
        </w:rPr>
        <w:t>Đối với tranh cãi hóa đơn, hậu quả rõ nhất là khủng hoảng truyền thông. Hình ảnh hóa đơn hơn 85 triệu đồng được chia sẻ rộng rãi khiến tên nhà hàng gắn với nghi vấn về giá cả, dù chưa có kết luận của cơ quan chức năng về hành vi “chặt chém”. Trong ngành nhà hàng, thông tin trên mạng xã hội có thể ảnh hưởng nhanh đến quyết định của khách du lịch.</w:t>
      </w:r>
    </w:p>
    <w:p>
      <w:pPr>
        <w:spacing w:before="0" w:after="40" w:line="360" w:lineRule="auto"/>
        <w:ind w:firstLine="567"/>
        <w:jc w:val="both"/>
      </w:pPr>
      <w:r>
        <w:rPr>
          <w:rFonts w:ascii="Times New Roman" w:hAnsi="Times New Roman" w:eastAsia="Times New Roman"/>
          <w:b w:val="0"/>
          <w:sz w:val="28"/>
        </w:rPr>
        <w:t>Doanh nghiệp phải dành thời gian giải thích cách tính giá, trọng lượng, số lượng món và hoàn cảnh của bữa ăn. Đây là chi phí quản trị khủng hoảng và chi phí cơ hội. Nếu quy trình xác nhận giá và tổng tiền dự kiến được thực hiện rõ ràng ngay từ đầu, nguy cơ phát sinh tranh cãi có thể được hạn chế.</w:t>
      </w:r>
    </w:p>
    <w:p>
      <w:pPr>
        <w:spacing w:before="0" w:after="40" w:line="360" w:lineRule="auto"/>
        <w:ind w:firstLine="567"/>
        <w:jc w:val="both"/>
      </w:pPr>
      <w:r>
        <w:rPr>
          <w:rFonts w:ascii="Times New Roman" w:hAnsi="Times New Roman" w:eastAsia="Times New Roman"/>
          <w:b w:val="0"/>
          <w:sz w:val="28"/>
        </w:rPr>
        <w:t>Đối với sự việc nước thải, nhà hàng phải phối hợp với cơ quan chuyên môn, rà soát hệ thống đấu nối và khắc phục tình trạng tắc nghẽn. Quá trình này phát sinh chi phí kỹ thuật, bảo trì, nhân công và có thể ảnh hưởng đến hoạt động trong thời gian sửa chữa. Sau sự việc, hệ thống nước thải và trách nhiệm môi trường của doanh nghiệp có thể bị theo dõi chặt chẽ hơn.</w:t>
      </w:r>
    </w:p>
    <w:p>
      <w:pPr>
        <w:spacing w:before="0" w:after="40" w:line="360" w:lineRule="auto"/>
        <w:ind w:firstLine="567"/>
        <w:jc w:val="both"/>
      </w:pPr>
      <w:r>
        <w:rPr>
          <w:rFonts w:ascii="Times New Roman" w:hAnsi="Times New Roman" w:eastAsia="Times New Roman"/>
          <w:b w:val="0"/>
          <w:sz w:val="28"/>
        </w:rPr>
        <w:t>Uy tín thương hiệu chịu ảnh hưởng ở cả hai phương diện: sự minh bạch với khách hàng và trách nhiệm đối với cộng đồng. Một thương hiệu lâu năm có thể được biết đến nhờ món ăn và vị trí đẹp, nhưng niềm tin dễ suy giảm nếu khách lo ngại chi phí ngoài dự kiến hoặc cộng đồng cho rằng hoạt động của doanh nghiệp làm ảnh hưởng đến môi trường ven biển.</w:t>
      </w:r>
    </w:p>
    <w:p>
      <w:pPr>
        <w:spacing w:before="0" w:after="40" w:line="360" w:lineRule="auto"/>
        <w:ind w:firstLine="567"/>
        <w:jc w:val="both"/>
      </w:pPr>
      <w:r>
        <w:rPr>
          <w:rFonts w:ascii="Times New Roman" w:hAnsi="Times New Roman" w:eastAsia="Times New Roman"/>
          <w:b w:val="0"/>
          <w:sz w:val="28"/>
        </w:rPr>
        <w:t>2.3. Chicland Danang Beach Hotel</w:t>
      </w:r>
    </w:p>
    <w:p>
      <w:pPr>
        <w:spacing w:before="0" w:after="40" w:line="360" w:lineRule="auto"/>
        <w:ind w:firstLine="567"/>
        <w:jc w:val="both"/>
      </w:pPr>
      <w:r>
        <w:rPr>
          <w:rFonts w:ascii="Times New Roman" w:hAnsi="Times New Roman" w:eastAsia="Times New Roman"/>
          <w:b w:val="0"/>
          <w:sz w:val="28"/>
        </w:rPr>
        <w:t>2.3.1. Giới thiệu doanh nghiệp và dịch vụ cung cấp</w:t>
      </w:r>
    </w:p>
    <w:p>
      <w:pPr>
        <w:spacing w:before="0" w:after="40" w:line="360" w:lineRule="auto"/>
        <w:ind w:firstLine="567"/>
        <w:jc w:val="both"/>
      </w:pPr>
      <w:r>
        <w:rPr>
          <w:rFonts w:ascii="Times New Roman" w:hAnsi="Times New Roman" w:eastAsia="Times New Roman"/>
          <w:b w:val="0"/>
          <w:sz w:val="28"/>
        </w:rPr>
        <w:t>Chicland Danang Beach Hotel là khách sạn ven biển tại Đà Nẵng do Công ty Cổ phần CHIC-LAND vận hành. Khách sạn được định vị ở phân khúc cao cấp, cung cấp dịch vụ lưu trú, ăn uống, hồ bơi, hội họp và các tiện ích du lịch. Công trình được biết đến với thiết kế có nhiều cây xanh và hình ảnh gắn với phong cách sống thân thiện với môi trường.</w:t>
      </w:r>
    </w:p>
    <w:p>
      <w:pPr>
        <w:spacing w:before="0" w:after="40" w:line="360" w:lineRule="auto"/>
        <w:ind w:firstLine="567"/>
        <w:jc w:val="both"/>
      </w:pPr>
      <w:r>
        <w:rPr>
          <w:rFonts w:ascii="Times New Roman" w:hAnsi="Times New Roman" w:eastAsia="Times New Roman"/>
          <w:b w:val="0"/>
          <w:sz w:val="28"/>
        </w:rPr>
        <w:t>Định vị “xanh” tạo ra kỳ vọng cao về trách nhiệm môi trường. Khách hàng không chỉ đánh giá khách sạn qua phòng nghỉ, vị trí và thái độ nhân viên mà còn quan tâm đến cách xử lý rác, nước thải, chất thải nguy hại và an toàn thực phẩm. Khi hình ảnh truyền thông không thống nhất với hoạt động thực tế, mức độ tổn hại niềm tin có thể nghiêm trọng hơn.</w:t>
      </w:r>
    </w:p>
    <w:p>
      <w:pPr>
        <w:spacing w:before="0" w:after="40" w:line="360" w:lineRule="auto"/>
        <w:ind w:firstLine="567"/>
        <w:jc w:val="both"/>
      </w:pPr>
      <w:r>
        <w:rPr>
          <w:rFonts w:ascii="Times New Roman" w:hAnsi="Times New Roman" w:eastAsia="Times New Roman"/>
          <w:b w:val="0"/>
          <w:sz w:val="28"/>
        </w:rPr>
        <w:t>Tháng 9 năm 2025, Công ty Cổ phần CHIC-LAND bị xử phạt tổng số tiền 564 triệu đồng do nhiều hành vi vi phạm về bảo vệ môi trường và an toàn thực phẩm. Đây là trường hợp có căn cứ xử phạt hành chính rõ ràng nhất trong ba ví dụ được nghiên cứu.</w:t>
      </w:r>
    </w:p>
    <w:p>
      <w:pPr>
        <w:spacing w:before="0" w:after="40" w:line="360" w:lineRule="auto"/>
        <w:ind w:firstLine="567"/>
        <w:jc w:val="both"/>
      </w:pPr>
      <w:r>
        <w:rPr>
          <w:rFonts w:ascii="Times New Roman" w:hAnsi="Times New Roman" w:eastAsia="Times New Roman"/>
          <w:b w:val="0"/>
          <w:sz w:val="28"/>
        </w:rPr>
        <w:t>2.3.2. Hành vi vi phạm đạo đức của doanh nghiệp</w:t>
      </w:r>
    </w:p>
    <w:p>
      <w:pPr>
        <w:spacing w:before="0" w:after="40" w:line="360" w:lineRule="auto"/>
        <w:ind w:firstLine="567"/>
        <w:jc w:val="both"/>
      </w:pPr>
      <w:r>
        <w:rPr>
          <w:rFonts w:ascii="Times New Roman" w:hAnsi="Times New Roman" w:eastAsia="Times New Roman"/>
          <w:b w:val="0"/>
          <w:sz w:val="28"/>
        </w:rPr>
        <w:t>a) Lắp đặt công trình, thiết bị hoặc đường ống xả chất thải trái quy định</w:t>
      </w:r>
    </w:p>
    <w:p>
      <w:pPr>
        <w:spacing w:before="0" w:after="40" w:line="360" w:lineRule="auto"/>
        <w:ind w:firstLine="567"/>
        <w:jc w:val="both"/>
      </w:pPr>
      <w:r>
        <w:rPr>
          <w:rFonts w:ascii="Times New Roman" w:hAnsi="Times New Roman" w:eastAsia="Times New Roman"/>
          <w:b w:val="0"/>
          <w:sz w:val="28"/>
        </w:rPr>
        <w:t>Doanh nghiệp có hành vi xây lắp hoặc lắp đặt thiết bị, đường ống để xả chất thải không qua xử lý ra môi trường. Đây là hành vi tác động trực tiếp đến chất lượng môi trường và thể hiện việc đặt sự thuận tiện trong vận hành cao hơn trách nhiệm đối với cộng đồng.</w:t>
      </w:r>
    </w:p>
    <w:p>
      <w:pPr>
        <w:spacing w:before="0" w:after="40" w:line="360" w:lineRule="auto"/>
        <w:ind w:firstLine="567"/>
        <w:jc w:val="both"/>
      </w:pPr>
      <w:r>
        <w:rPr>
          <w:rFonts w:ascii="Times New Roman" w:hAnsi="Times New Roman" w:eastAsia="Times New Roman"/>
          <w:b w:val="0"/>
          <w:sz w:val="28"/>
        </w:rPr>
        <w:t>b) Không vận hành đúng quy trình đối với công trình xử lý chất thải</w:t>
      </w:r>
    </w:p>
    <w:p>
      <w:pPr>
        <w:spacing w:before="0" w:after="40" w:line="360" w:lineRule="auto"/>
        <w:ind w:firstLine="567"/>
        <w:jc w:val="both"/>
      </w:pPr>
      <w:r>
        <w:rPr>
          <w:rFonts w:ascii="Times New Roman" w:hAnsi="Times New Roman" w:eastAsia="Times New Roman"/>
          <w:b w:val="0"/>
          <w:sz w:val="28"/>
        </w:rPr>
        <w:t>Công trình xử lý chất thải không được vận hành đúng quy trình đã thiết kế hoặc được phê duyệt. Một hệ thống dù đã được đầu tư nhưng không vận hành đúng vẫn không bảo đảm mục tiêu bảo vệ môi trường. Vấn đề này cho thấy trách nhiệm không dừng ở việc lắp đặt thiết bị mà còn ở quá trình sử dụng hằng ngày.</w:t>
      </w:r>
    </w:p>
    <w:p>
      <w:pPr>
        <w:spacing w:before="0" w:after="40" w:line="360" w:lineRule="auto"/>
        <w:ind w:firstLine="567"/>
        <w:jc w:val="both"/>
      </w:pPr>
      <w:r>
        <w:rPr>
          <w:rFonts w:ascii="Times New Roman" w:hAnsi="Times New Roman" w:eastAsia="Times New Roman"/>
          <w:b w:val="0"/>
          <w:sz w:val="28"/>
        </w:rPr>
        <w:t>c) Chuyển giao chất thải nguy hại không đúng yêu cầu</w:t>
      </w:r>
    </w:p>
    <w:p>
      <w:pPr>
        <w:spacing w:before="0" w:after="40" w:line="360" w:lineRule="auto"/>
        <w:ind w:firstLine="567"/>
        <w:jc w:val="both"/>
      </w:pPr>
      <w:r>
        <w:rPr>
          <w:rFonts w:ascii="Times New Roman" w:hAnsi="Times New Roman" w:eastAsia="Times New Roman"/>
          <w:b w:val="0"/>
          <w:sz w:val="28"/>
        </w:rPr>
        <w:t>Doanh nghiệp không bảo đảm đầy đủ yêu cầu khi chuyển giao chất thải nguy hại cho đơn vị có chức năng và giấy phép phù hợp. Chất thải nguy hại cần được quản lý theo chuỗi trách nhiệm rõ ràng vì việc bàn giao sai đối tượng hoặc thiếu hồ sơ có thể tạo rủi ro cho môi trường và người tiếp xúc.</w:t>
      </w:r>
    </w:p>
    <w:p>
      <w:pPr>
        <w:spacing w:before="0" w:after="40" w:line="360" w:lineRule="auto"/>
        <w:ind w:firstLine="567"/>
        <w:jc w:val="both"/>
      </w:pPr>
      <w:r>
        <w:rPr>
          <w:rFonts w:ascii="Times New Roman" w:hAnsi="Times New Roman" w:eastAsia="Times New Roman"/>
          <w:b w:val="0"/>
          <w:sz w:val="28"/>
        </w:rPr>
        <w:t>d) Bố trí khu vực lưu giữ chất thải nguy hại không đáp ứng yêu cầu kỹ thuật</w:t>
      </w:r>
    </w:p>
    <w:p>
      <w:pPr>
        <w:spacing w:before="0" w:after="40" w:line="360" w:lineRule="auto"/>
        <w:ind w:firstLine="567"/>
        <w:jc w:val="both"/>
      </w:pPr>
      <w:r>
        <w:rPr>
          <w:rFonts w:ascii="Times New Roman" w:hAnsi="Times New Roman" w:eastAsia="Times New Roman"/>
          <w:b w:val="0"/>
          <w:sz w:val="28"/>
        </w:rPr>
        <w:t>Khu vực lưu giữ chất thải nguy hại chưa đáp ứng đầy đủ các điều kiện kỹ thuật. Sai phạm này làm gia tăng nguy cơ rò rỉ, phát tán hoặc tiếp xúc không an toàn, đồng thời cho thấy khâu hậu cần phía sau hoạt động khách sạn chưa được quản lý tương xứng với phân khúc cao cấp.</w:t>
      </w:r>
    </w:p>
    <w:p>
      <w:pPr>
        <w:spacing w:before="0" w:after="40" w:line="360" w:lineRule="auto"/>
        <w:ind w:firstLine="567"/>
        <w:jc w:val="both"/>
      </w:pPr>
      <w:r>
        <w:rPr>
          <w:rFonts w:ascii="Times New Roman" w:hAnsi="Times New Roman" w:eastAsia="Times New Roman"/>
          <w:b w:val="0"/>
          <w:sz w:val="28"/>
        </w:rPr>
        <w:t>e) Thực hiện không đầy đủ nội dung trong hồ sơ môi trường đã được phê duyệt</w:t>
      </w:r>
    </w:p>
    <w:p>
      <w:pPr>
        <w:spacing w:before="0" w:after="40" w:line="360" w:lineRule="auto"/>
        <w:ind w:firstLine="567"/>
        <w:jc w:val="both"/>
      </w:pPr>
      <w:r>
        <w:rPr>
          <w:rFonts w:ascii="Times New Roman" w:hAnsi="Times New Roman" w:eastAsia="Times New Roman"/>
          <w:b w:val="0"/>
          <w:sz w:val="28"/>
        </w:rPr>
        <w:t>Doanh nghiệp thực hiện không đúng hoặc không đầy đủ một số nội dung của báo cáo đánh giá tác động môi trường và hồ sơ liên quan. Việc lập hồ sơ nhưng không triển khai đúng trên thực tế làm mất ý nghĩa của quá trình đánh giá, phòng ngừa và cam kết bảo vệ môi trường.</w:t>
      </w:r>
    </w:p>
    <w:p>
      <w:pPr>
        <w:spacing w:before="0" w:after="40" w:line="360" w:lineRule="auto"/>
        <w:ind w:firstLine="567"/>
        <w:jc w:val="both"/>
      </w:pPr>
      <w:r>
        <w:rPr>
          <w:rFonts w:ascii="Times New Roman" w:hAnsi="Times New Roman" w:eastAsia="Times New Roman"/>
          <w:b w:val="0"/>
          <w:sz w:val="28"/>
        </w:rPr>
        <w:t>f) Để rác thải trên vỉa hè, lòng đường</w:t>
      </w:r>
    </w:p>
    <w:p>
      <w:pPr>
        <w:spacing w:before="0" w:after="40" w:line="360" w:lineRule="auto"/>
        <w:ind w:firstLine="567"/>
        <w:jc w:val="both"/>
      </w:pPr>
      <w:r>
        <w:rPr>
          <w:rFonts w:ascii="Times New Roman" w:hAnsi="Times New Roman" w:eastAsia="Times New Roman"/>
          <w:b w:val="0"/>
          <w:sz w:val="28"/>
        </w:rPr>
        <w:t>Rác thải được để tại khu vực vỉa hè, lòng đường xung quanh khách sạn, làm ảnh hưởng đến mỹ quan đô thị và không gian công cộng. Đối với một khách sạn ven biển, hành vi này mâu thuẫn trực tiếp với hình ảnh sạch, xanh và chuyên nghiệp mà doanh nghiệp truyền thông tới khách hàng.</w:t>
      </w:r>
    </w:p>
    <w:p>
      <w:pPr>
        <w:spacing w:before="0" w:after="40" w:line="360" w:lineRule="auto"/>
        <w:ind w:firstLine="567"/>
        <w:jc w:val="both"/>
      </w:pPr>
      <w:r>
        <w:rPr>
          <w:rFonts w:ascii="Times New Roman" w:hAnsi="Times New Roman" w:eastAsia="Times New Roman"/>
          <w:b w:val="0"/>
          <w:sz w:val="28"/>
        </w:rPr>
        <w:t>g) Không lập hoặc không thực hiện đầy đủ báo cáo bảo vệ môi trường định kỳ</w:t>
      </w:r>
    </w:p>
    <w:p>
      <w:pPr>
        <w:spacing w:before="0" w:after="40" w:line="360" w:lineRule="auto"/>
        <w:ind w:firstLine="567"/>
        <w:jc w:val="both"/>
      </w:pPr>
      <w:r>
        <w:rPr>
          <w:rFonts w:ascii="Times New Roman" w:hAnsi="Times New Roman" w:eastAsia="Times New Roman"/>
          <w:b w:val="0"/>
          <w:sz w:val="28"/>
        </w:rPr>
        <w:t>Doanh nghiệp không bảo đảm đầy đủ nghĩa vụ báo cáo về công tác bảo vệ môi trường. Báo cáo định kỳ không chỉ là thủ tục hành chính mà còn giúp cơ quan quản lý theo dõi lượng chất thải, tình trạng vận hành và nguy cơ phát sinh. Thiếu báo cáo làm giảm tính minh bạch và khả năng giám sát.</w:t>
      </w:r>
    </w:p>
    <w:p>
      <w:pPr>
        <w:spacing w:before="0" w:after="40" w:line="360" w:lineRule="auto"/>
        <w:ind w:firstLine="567"/>
        <w:jc w:val="both"/>
      </w:pPr>
      <w:r>
        <w:rPr>
          <w:rFonts w:ascii="Times New Roman" w:hAnsi="Times New Roman" w:eastAsia="Times New Roman"/>
          <w:b w:val="0"/>
          <w:sz w:val="28"/>
        </w:rPr>
        <w:t>h) Không thực hiện đúng chế độ kiểm thực ba bước</w:t>
      </w:r>
    </w:p>
    <w:p>
      <w:pPr>
        <w:spacing w:before="0" w:after="40" w:line="360" w:lineRule="auto"/>
        <w:ind w:firstLine="567"/>
        <w:jc w:val="both"/>
      </w:pPr>
      <w:r>
        <w:rPr>
          <w:rFonts w:ascii="Times New Roman" w:hAnsi="Times New Roman" w:eastAsia="Times New Roman"/>
          <w:b w:val="0"/>
          <w:sz w:val="28"/>
        </w:rPr>
        <w:t>Tại khu vực bếp, doanh nghiệp không thực hiện hoặc thực hiện không đúng quy định về kiểm thực ba bước. Quy trình này giúp kiểm tra nguyên liệu trước khi nhập, trong quá trình chế biến và trước khi phục vụ. Bỏ qua một hoặc nhiều bước làm giảm khả năng phát hiện nguy cơ mất an toàn thực phẩm.</w:t>
      </w:r>
    </w:p>
    <w:p>
      <w:pPr>
        <w:spacing w:before="0" w:after="40" w:line="360" w:lineRule="auto"/>
        <w:ind w:firstLine="567"/>
        <w:jc w:val="both"/>
      </w:pPr>
      <w:r>
        <w:rPr>
          <w:rFonts w:ascii="Times New Roman" w:hAnsi="Times New Roman" w:eastAsia="Times New Roman"/>
          <w:b w:val="0"/>
          <w:sz w:val="28"/>
        </w:rPr>
        <w:t>i) Không lưu mẫu thức ăn đúng quy định</w:t>
      </w:r>
    </w:p>
    <w:p>
      <w:pPr>
        <w:spacing w:before="0" w:after="40" w:line="360" w:lineRule="auto"/>
        <w:ind w:firstLine="567"/>
        <w:jc w:val="both"/>
      </w:pPr>
      <w:r>
        <w:rPr>
          <w:rFonts w:ascii="Times New Roman" w:hAnsi="Times New Roman" w:eastAsia="Times New Roman"/>
          <w:b w:val="0"/>
          <w:sz w:val="28"/>
        </w:rPr>
        <w:t>Khách sạn không thực hiện đầy đủ việc lưu mẫu thức ăn. Lưu mẫu là cơ sở quan trọng để truy xuất nguyên nhân nếu xảy ra sự cố liên quan đến thực phẩm. Việc không lưu mẫu không đồng nghĩa đã có ngộ độc, nhưng làm giảm khả năng điều tra và bảo vệ quyền lợi của khách hàng khi rủi ro phát sinh.</w:t>
      </w:r>
    </w:p>
    <w:p>
      <w:pPr>
        <w:spacing w:before="0" w:after="40" w:line="360" w:lineRule="auto"/>
        <w:ind w:firstLine="567"/>
        <w:jc w:val="both"/>
      </w:pPr>
      <w:r>
        <w:rPr>
          <w:rFonts w:ascii="Times New Roman" w:hAnsi="Times New Roman" w:eastAsia="Times New Roman"/>
          <w:b w:val="0"/>
          <w:sz w:val="28"/>
        </w:rPr>
        <w:t>Các hành vi trên được xác định tại Chicland Danang Beach Hotel, thành phố Đà Nẵng, trong quyết định xử phạt ban hành tháng 9 năm 2025. Tổng mức phạt 564 triệu đồng cùng các biện pháp khắc phục cho thấy số lượng và tính chất sai phạm là đáng kể.</w:t>
      </w:r>
    </w:p>
    <w:p>
      <w:pPr>
        <w:spacing w:before="0" w:after="40" w:line="360" w:lineRule="auto"/>
        <w:ind w:firstLine="567"/>
        <w:jc w:val="both"/>
      </w:pPr>
      <w:r>
        <w:rPr>
          <w:rFonts w:ascii="Times New Roman" w:hAnsi="Times New Roman" w:eastAsia="Times New Roman"/>
          <w:b w:val="0"/>
          <w:sz w:val="28"/>
        </w:rPr>
        <w:t>2.3.3. Hậu quả mà khách hàng và cộng đồng phải chịu</w:t>
      </w:r>
    </w:p>
    <w:p>
      <w:pPr>
        <w:spacing w:before="0" w:after="40" w:line="360" w:lineRule="auto"/>
        <w:ind w:firstLine="567"/>
        <w:jc w:val="both"/>
      </w:pPr>
      <w:r>
        <w:rPr>
          <w:rFonts w:ascii="Times New Roman" w:hAnsi="Times New Roman" w:eastAsia="Times New Roman"/>
          <w:b w:val="0"/>
          <w:sz w:val="28"/>
        </w:rPr>
        <w:t>Các hành vi về môi trường làm phát sinh nguy cơ ảnh hưởng đến chất lượng nước, không khí, cảnh quan và vệ sinh khu vực xung quanh khách sạn. Việc để rác trên vỉa hè, lòng đường chiếm dụng không gian công cộng và làm giảm mỹ quan của tuyến du lịch. Người dân, du khách và các cơ sở kinh doanh lân cận phải chịu tác động dù không tham gia vào hoạt động tạo ra chất thải.</w:t>
      </w:r>
    </w:p>
    <w:p>
      <w:pPr>
        <w:spacing w:before="0" w:after="40" w:line="360" w:lineRule="auto"/>
        <w:ind w:firstLine="567"/>
        <w:jc w:val="both"/>
      </w:pPr>
      <w:r>
        <w:rPr>
          <w:rFonts w:ascii="Times New Roman" w:hAnsi="Times New Roman" w:eastAsia="Times New Roman"/>
          <w:b w:val="0"/>
          <w:sz w:val="28"/>
        </w:rPr>
        <w:t>Đối với khách lưu trú, thông tin về xả thải và quản lý chất thải không đúng quy trình gây tâm lý lo ngại về mức độ chuyên nghiệp và vệ sinh của khách sạn. Trải nghiệm lưu trú không chỉ liên quan đến phòng ngủ mà còn phụ thuộc vào sự sạch sẽ, an toàn và trách nhiệm của toàn bộ cơ sở.</w:t>
      </w:r>
    </w:p>
    <w:p>
      <w:pPr>
        <w:spacing w:before="0" w:after="40" w:line="360" w:lineRule="auto"/>
        <w:ind w:firstLine="567"/>
        <w:jc w:val="both"/>
      </w:pPr>
      <w:r>
        <w:rPr>
          <w:rFonts w:ascii="Times New Roman" w:hAnsi="Times New Roman" w:eastAsia="Times New Roman"/>
          <w:b w:val="0"/>
          <w:sz w:val="28"/>
        </w:rPr>
        <w:t>Các vi phạm về kiểm thực ba bước và lưu mẫu thức ăn tạo ra rủi ro đối với thực khách. Chưa có thông tin xác nhận một vụ ngộ độc cụ thể liên quan đến sự việc, vì vậy không thể khẳng định đã có người bị tổn hại sức khỏe. Tuy nhiên, việc thiếu quy trình làm giảm khả năng phòng ngừa và truy xuất khi sự cố xảy ra, khiến khách hàng phải chịu mức độ rủi ro cao hơn mức có thể chấp nhận ở một khách sạn cao cấp.</w:t>
      </w:r>
    </w:p>
    <w:p>
      <w:pPr>
        <w:spacing w:before="0" w:after="40" w:line="360" w:lineRule="auto"/>
        <w:ind w:firstLine="567"/>
        <w:jc w:val="both"/>
      </w:pPr>
      <w:r>
        <w:rPr>
          <w:rFonts w:ascii="Times New Roman" w:hAnsi="Times New Roman" w:eastAsia="Times New Roman"/>
          <w:b w:val="0"/>
          <w:sz w:val="28"/>
        </w:rPr>
        <w:t>Cộng đồng du lịch Đà Nẵng cũng chịu ảnh hưởng về hình ảnh. Một khách sạn ven biển được quảng bá theo định hướng xanh nhưng bị xử phạt nhiều lỗi môi trường có thể làm du khách nghi ngờ về chất lượng quản lý điểm đến. Các doanh nghiệp khác trong khu vực cũng có thể chịu tác động lan truyền từ thông tin tiêu cực.</w:t>
      </w:r>
    </w:p>
    <w:p>
      <w:pPr>
        <w:spacing w:before="0" w:after="40" w:line="360" w:lineRule="auto"/>
        <w:ind w:firstLine="567"/>
        <w:jc w:val="both"/>
      </w:pPr>
      <w:r>
        <w:rPr>
          <w:rFonts w:ascii="Times New Roman" w:hAnsi="Times New Roman" w:eastAsia="Times New Roman"/>
          <w:b w:val="0"/>
          <w:sz w:val="28"/>
        </w:rPr>
        <w:t>2.3.4. Hậu quả mà doanh nghiệp phải chịu</w:t>
      </w:r>
    </w:p>
    <w:p>
      <w:pPr>
        <w:spacing w:before="0" w:after="40" w:line="360" w:lineRule="auto"/>
        <w:ind w:firstLine="567"/>
        <w:jc w:val="both"/>
      </w:pPr>
      <w:r>
        <w:rPr>
          <w:rFonts w:ascii="Times New Roman" w:hAnsi="Times New Roman" w:eastAsia="Times New Roman"/>
          <w:b w:val="0"/>
          <w:sz w:val="28"/>
        </w:rPr>
        <w:t>Hậu quả pháp lý trực tiếp là Công ty Cổ phần CHIC-LAND bị xử phạt tổng cộng 564 triệu đồng. Ngoài khoản tiền phạt, doanh nghiệp còn phải thực hiện các biện pháp khắc phục bắt buộc, trong đó có phá dỡ công trình, thiết bị hoặc đường ống lắp đặt trái quy định và khôi phục tình trạng ban đầu tại khu vực bị ảnh hưởng.</w:t>
      </w:r>
    </w:p>
    <w:p>
      <w:pPr>
        <w:spacing w:before="0" w:after="40" w:line="360" w:lineRule="auto"/>
        <w:ind w:firstLine="567"/>
        <w:jc w:val="both"/>
      </w:pPr>
      <w:r>
        <w:rPr>
          <w:rFonts w:ascii="Times New Roman" w:hAnsi="Times New Roman" w:eastAsia="Times New Roman"/>
          <w:b w:val="0"/>
          <w:sz w:val="28"/>
        </w:rPr>
        <w:t>Các biện pháp khắc phục làm phát sinh thêm chi phí tháo dỡ, thiết kế lại, thi công, kiểm định và vận hành thử. Khách sạn cũng phải rà soát quy trình xử lý chất thải, quản lý chất thải nguy hại, báo cáo môi trường, kiểm thực và lưu mẫu thức ăn. Khi nhiều lỗi xuất hiện cùng lúc, doanh nghiệp cần điều chỉnh ở cấp độ hệ thống chứ không thể chỉ sửa một hạng mục riêng lẻ.</w:t>
      </w:r>
    </w:p>
    <w:p>
      <w:pPr>
        <w:spacing w:before="0" w:after="40" w:line="360" w:lineRule="auto"/>
        <w:ind w:firstLine="567"/>
        <w:jc w:val="both"/>
      </w:pPr>
      <w:r>
        <w:rPr>
          <w:rFonts w:ascii="Times New Roman" w:hAnsi="Times New Roman" w:eastAsia="Times New Roman"/>
          <w:b w:val="0"/>
          <w:sz w:val="28"/>
        </w:rPr>
        <w:t>Hoạt động kinh doanh có thể bị ảnh hưởng trong thời gian sửa chữa và rà soát. Một số khu vực phải hạn chế sử dụng, nhân sự quản lý phải tập trung cho việc khắc phục, và doanh nghiệp có thể phát sinh chi phí thuê chuyên gia hoặc đơn vị tư vấn. Sau sai phạm, cơ sở cũng có khả năng chịu sự kiểm tra, giám sát chặt chẽ hơn.</w:t>
      </w:r>
    </w:p>
    <w:p>
      <w:pPr>
        <w:spacing w:before="0" w:after="40" w:line="360" w:lineRule="auto"/>
        <w:ind w:firstLine="567"/>
        <w:jc w:val="both"/>
      </w:pPr>
      <w:r>
        <w:rPr>
          <w:rFonts w:ascii="Times New Roman" w:hAnsi="Times New Roman" w:eastAsia="Times New Roman"/>
          <w:b w:val="0"/>
          <w:sz w:val="28"/>
        </w:rPr>
        <w:t>Uy tín thương hiệu bị ảnh hưởng rõ vì sai phạm mâu thuẫn với hình ảnh khách sạn xanh và cao cấp. Khách hàng có thể cân nhắc lại việc đặt phòng hoặc sử dụng dịch vụ ăn uống; đối tác lữ hành và tổ chức sự kiện cũng có thể thận trọng hơn. Nộp phạt chỉ giải quyết nghĩa vụ trước mắt, trong khi việc phục hồi niềm tin đòi hỏi doanh nghiệp chứng minh các cải tiến được thực hiện thực chất và duy trì ổn định.</w:t>
      </w:r>
    </w:p>
    <w:p>
      <w:pPr>
        <w:spacing w:before="160" w:after="240" w:line="360" w:lineRule="auto"/>
        <w:jc w:val="left"/>
      </w:pPr>
      <w:r>
        <w:rPr>
          <w:rFonts w:ascii="Times New Roman" w:hAnsi="Times New Roman" w:eastAsia="Times New Roman"/>
          <w:b/>
          <w:sz w:val="34"/>
        </w:rPr>
        <w:t>CHƯƠNG 3: KẾT LUẬN</w:t>
      </w:r>
    </w:p>
    <w:p>
      <w:pPr>
        <w:spacing w:before="0" w:after="40" w:line="360" w:lineRule="auto"/>
        <w:ind w:firstLine="567"/>
        <w:jc w:val="both"/>
      </w:pPr>
      <w:r>
        <w:rPr>
          <w:rFonts w:ascii="Times New Roman" w:hAnsi="Times New Roman" w:eastAsia="Times New Roman"/>
          <w:b w:val="0"/>
          <w:sz w:val="28"/>
        </w:rPr>
        <w:t>3.1. Kết luận từ trường hợp Mường Thanh Sơn Trà</w:t>
      </w:r>
    </w:p>
    <w:p>
      <w:pPr>
        <w:spacing w:before="0" w:after="40" w:line="360" w:lineRule="auto"/>
        <w:ind w:firstLine="567"/>
        <w:jc w:val="both"/>
      </w:pPr>
      <w:r>
        <w:rPr>
          <w:rFonts w:ascii="Times New Roman" w:hAnsi="Times New Roman" w:eastAsia="Times New Roman"/>
          <w:b w:val="0"/>
          <w:sz w:val="28"/>
        </w:rPr>
        <w:t>Từ trường hợp Mường Thanh Sơn Trà, có thể rút ra rằng tuân thủ pháp luật là nền tảng tối thiểu của đạo đức kinh doanh trong lĩnh vực lưu trú và bất động sản. Một doanh nghiệp dù có quy mô lớn, cơ sở vật chất hiện đại hay thương hiệu được nhiều người biết đến nhưng nếu hoạt động đầu tư, xây dựng và vận hành không đúng quy định thì vẫn chưa thể được xem là kinh doanh có trách nhiệm. Đối với loại hình khách sạn kết hợp căn hộ, khách hàng không chỉ mua một sản phẩm hữu hình mà còn đặt niềm tin vào tính pháp lý, sự an toàn và tính minh bạch của doanh nghiệp.</w:t>
      </w:r>
    </w:p>
    <w:p>
      <w:pPr>
        <w:spacing w:before="0" w:after="40" w:line="360" w:lineRule="auto"/>
        <w:ind w:firstLine="567"/>
        <w:jc w:val="both"/>
      </w:pPr>
      <w:r>
        <w:rPr>
          <w:rFonts w:ascii="Times New Roman" w:hAnsi="Times New Roman" w:eastAsia="Times New Roman"/>
          <w:b w:val="0"/>
          <w:sz w:val="28"/>
        </w:rPr>
        <w:t>Qua vụ việc này, vấn đề quan trọng không chỉ nằm ở việc công trình bị xử lý hoặc doanh nghiệp phải khắc phục, mà còn là bài học về mối quan hệ giữa lợi ích kinh doanh và chuẩn mực xã hội. Khi các khu vực được phê duyệt cho bãi đỗ xe, nhà trẻ, sinh hoạt cộng đồng hoặc dịch vụ lại bị chuyển thành căn hộ để bán, lợi ích khai thác trước mắt đã được đặt cao hơn quyền lợi lâu dài của cư dân. Điều đó cho thấy đạo đức kinh doanh bắt đầu từ những quyết định quản trị rất sớm, chứ không chỉ thể hiện ở quầy lễ tân, thái độ phục vụ hay nội dung quảng cáo.</w:t>
      </w:r>
    </w:p>
    <w:p>
      <w:pPr>
        <w:spacing w:before="0" w:after="40" w:line="360" w:lineRule="auto"/>
        <w:ind w:firstLine="567"/>
        <w:jc w:val="both"/>
      </w:pPr>
      <w:r>
        <w:rPr>
          <w:rFonts w:ascii="Times New Roman" w:hAnsi="Times New Roman" w:eastAsia="Times New Roman"/>
          <w:b w:val="0"/>
          <w:sz w:val="28"/>
        </w:rPr>
        <w:t>Trường hợp Mường Thanh cũng cho thấy sự minh bạch là yếu tố cốt lõi trong ngành khách sạn và bất động sản nghỉ dưỡng. Thông tin về công năng, tiện ích, pháp lý và quyền lợi của người sử dụng phải phù hợp với thực tế. Khi doanh nghiệp cung cấp một sản phẩm có tình trạng pháp lý không ổn định, rủi ro không chỉ thuộc về doanh nghiệp mà còn bị chuyển sang người mua, cư dân và cộng đồng. Đây là biểu hiện thiếu công bằng vì khách hàng phải gánh chịu hậu quả từ những quyết định mà họ không kiểm soát được.</w:t>
      </w:r>
    </w:p>
    <w:p>
      <w:pPr>
        <w:spacing w:before="0" w:after="40" w:line="360" w:lineRule="auto"/>
        <w:ind w:firstLine="567"/>
        <w:jc w:val="both"/>
      </w:pPr>
      <w:r>
        <w:rPr>
          <w:rFonts w:ascii="Times New Roman" w:hAnsi="Times New Roman" w:eastAsia="Times New Roman"/>
          <w:b w:val="0"/>
          <w:sz w:val="28"/>
        </w:rPr>
        <w:t>Một bài học khác là chi phí của việc khắc phục thường lớn hơn nhiều so với lợi ích thu được từ hành vi sai phạm. Doanh nghiệp phải mua lại căn hộ, tháo dỡ, hoàn trả công năng, làm việc kéo dài với cơ quan quản lý và giải quyết tâm lý bất an của cư dân. Ngoài các khoản chi phí có thể tính toán, doanh nghiệp còn mất thời gian, cơ hội đầu tư và uy tín thương hiệu. Vì vậy, việc tuân thủ ngay từ đầu không chỉ là nghĩa vụ pháp lý mà còn là lựa chọn kinh tế hợp lý.</w:t>
      </w:r>
    </w:p>
    <w:p>
      <w:pPr>
        <w:spacing w:before="0" w:after="40" w:line="360" w:lineRule="auto"/>
        <w:ind w:firstLine="567"/>
        <w:jc w:val="both"/>
      </w:pPr>
      <w:r>
        <w:rPr>
          <w:rFonts w:ascii="Times New Roman" w:hAnsi="Times New Roman" w:eastAsia="Times New Roman"/>
          <w:b w:val="0"/>
          <w:sz w:val="28"/>
        </w:rPr>
        <w:t>Từ trường hợp này, doanh nghiệp cần tuân thủ pháp luật, trung thực với khách hàng và tôn trọng quyền lợi của các bên liên quan thay vì chỉ chú ý đến lợi ích trước mắt. Đối với các dự án lưu trú kết hợp căn hộ, chất lượng dịch vụ không thể tách rời chất lượng pháp lý. Một công trình đẹp và tiện nghi vẫn không thể tạo ra niềm tin nếu khách hàng luôn lo lắng về quyền sở hữu, công năng hoặc khả năng bị tháo dỡ trong tương lai.</w:t>
      </w:r>
    </w:p>
    <w:p>
      <w:pPr>
        <w:spacing w:before="0" w:after="40" w:line="360" w:lineRule="auto"/>
        <w:ind w:firstLine="567"/>
        <w:jc w:val="both"/>
      </w:pPr>
      <w:r>
        <w:rPr>
          <w:rFonts w:ascii="Times New Roman" w:hAnsi="Times New Roman" w:eastAsia="Times New Roman"/>
          <w:b w:val="0"/>
          <w:sz w:val="28"/>
        </w:rPr>
        <w:t>3.2. Kết luận từ trường hợp Mỹ Hạnh Seafood</w:t>
      </w:r>
    </w:p>
    <w:p>
      <w:pPr>
        <w:spacing w:before="0" w:after="40" w:line="360" w:lineRule="auto"/>
        <w:ind w:firstLine="567"/>
        <w:jc w:val="both"/>
      </w:pPr>
      <w:r>
        <w:rPr>
          <w:rFonts w:ascii="Times New Roman" w:hAnsi="Times New Roman" w:eastAsia="Times New Roman"/>
          <w:b w:val="0"/>
          <w:sz w:val="28"/>
        </w:rPr>
        <w:t>Từ trường hợp Mỹ Hạnh Seafood, có thể thấy đạo đức kinh doanh trong ngành nhà hàng không chỉ thể hiện qua món ăn ngon, không gian đẹp hay thái độ phục vụ mà còn thể hiện qua sự minh bạch với khách hàng và trách nhiệm đối với môi trường xung quanh. Đây là hai yếu tố gắn trực tiếp với trải nghiệm dịch vụ, bởi thực khách thường đánh giá nhà hàng không chỉ bằng chất lượng món ăn mà còn bằng cảm giác được tôn trọng, được thông tin rõ ràng và được phục vụ trong một môi trường sạch sẽ, văn minh.</w:t>
      </w:r>
    </w:p>
    <w:p>
      <w:pPr>
        <w:spacing w:before="0" w:after="40" w:line="360" w:lineRule="auto"/>
        <w:ind w:firstLine="567"/>
        <w:jc w:val="both"/>
      </w:pPr>
      <w:r>
        <w:rPr>
          <w:rFonts w:ascii="Times New Roman" w:hAnsi="Times New Roman" w:eastAsia="Times New Roman"/>
          <w:b w:val="0"/>
          <w:sz w:val="28"/>
        </w:rPr>
        <w:t>Đối với vụ hóa đơn hải sản hơn 85 triệu đồng từng gây tranh cãi, cần nhìn nhận thận trọng rằng phía khách hàng bức xúc vì tổng số tiền lớn, trong khi nhà hàng cho rằng giá đã được niêm yết và không có hành vi gian lận. Vì chưa có kết luận chính thức xác định nhà hàng “chặt chém”, bài học phù hợp nhất không phải là quy kết một chiều mà là yêu cầu nâng cao tính minh bạch trong tư vấn và xác nhận giao dịch.</w:t>
      </w:r>
    </w:p>
    <w:p>
      <w:pPr>
        <w:spacing w:before="0" w:after="40" w:line="360" w:lineRule="auto"/>
        <w:ind w:firstLine="567"/>
        <w:jc w:val="both"/>
      </w:pPr>
      <w:r>
        <w:rPr>
          <w:rFonts w:ascii="Times New Roman" w:hAnsi="Times New Roman" w:eastAsia="Times New Roman"/>
          <w:b w:val="0"/>
          <w:sz w:val="28"/>
        </w:rPr>
        <w:t>Đối với các món hải sản tính theo trọng lượng hoặc thời giá, nhà hàng nên thông báo rõ đơn giá, trọng lượng, số lượng và tổng chi phí dự kiến trước khi chế biến. Việc chỉ niêm yết đơn giá có thể chưa đủ nếu khách không biết tổng số tiền mình sẽ phải thanh toán. Cách tư vấn rõ ràng sẽ giúp hạn chế hiểu lầm và tranh cãi.</w:t>
      </w:r>
    </w:p>
    <w:p>
      <w:pPr>
        <w:spacing w:before="0" w:after="40" w:line="360" w:lineRule="auto"/>
        <w:ind w:firstLine="567"/>
        <w:jc w:val="both"/>
      </w:pPr>
      <w:r>
        <w:rPr>
          <w:rFonts w:ascii="Times New Roman" w:hAnsi="Times New Roman" w:eastAsia="Times New Roman"/>
          <w:b w:val="0"/>
          <w:sz w:val="28"/>
        </w:rPr>
        <w:t>Ở góc độ môi trường, sự việc nước thải cho thấy hoạt động kinh doanh nhà hàng không chỉ nằm trong phạm vi bàn ăn. Hệ thống thoát nước, chất thải và mùi phát sinh từ quá trình chế biến có thể tác động đến người dân, du khách, các cơ sở kinh doanh khác và hình ảnh chung của địa phương. Khi doanh nghiệp hưởng lợi từ vị trí ven biển và lượng khách du lịch, doanh nghiệp đồng thời có nghĩa vụ bảo vệ chất lượng không gian công cộng mà mình đang khai thác.</w:t>
      </w:r>
    </w:p>
    <w:p>
      <w:pPr>
        <w:spacing w:before="0" w:after="40" w:line="360" w:lineRule="auto"/>
        <w:ind w:firstLine="567"/>
        <w:jc w:val="both"/>
      </w:pPr>
      <w:r>
        <w:rPr>
          <w:rFonts w:ascii="Times New Roman" w:hAnsi="Times New Roman" w:eastAsia="Times New Roman"/>
          <w:b w:val="0"/>
          <w:sz w:val="28"/>
        </w:rPr>
        <w:t>Hai sự việc của Mỹ Hạnh cho thấy nhà hàng phải quản lý tốt cả khâu phục vụ khách và khâu vận hành phía sau. Việc tư vấn giá, cân đo, lập hóa đơn cần rõ ràng; đồng thời hệ thống vệ sinh, thoát nước và xử lý mùi cũng phải được kiểm soát thường xuyên. Nếu một trong hai khâu bị xem nhẹ, hình ảnh của nhà hàng sẽ bị ảnh hưởng.</w:t>
      </w:r>
    </w:p>
    <w:p>
      <w:pPr>
        <w:spacing w:before="0" w:after="40" w:line="360" w:lineRule="auto"/>
        <w:ind w:firstLine="567"/>
        <w:jc w:val="both"/>
      </w:pPr>
      <w:r>
        <w:rPr>
          <w:rFonts w:ascii="Times New Roman" w:hAnsi="Times New Roman" w:eastAsia="Times New Roman"/>
          <w:b w:val="0"/>
          <w:sz w:val="28"/>
        </w:rPr>
        <w:t>Một nhà hàng muốn giữ uy tín lâu dài cần vừa trung thực trong phục vụ, vừa có trách nhiệm trong quá trình vận hành. Thương hiệu có thể được biết đến nhờ vị trí đẹp hoặc món ăn ngon, nhưng để phát triển bền vững thì phải tạo được niềm tin bằng sự minh bạch, tôn trọng khách hàng và không gây ảnh hưởng xấu đến cộng đồng.</w:t>
      </w:r>
    </w:p>
    <w:p>
      <w:pPr>
        <w:spacing w:before="0" w:after="40" w:line="360" w:lineRule="auto"/>
        <w:ind w:firstLine="567"/>
        <w:jc w:val="both"/>
      </w:pPr>
      <w:r>
        <w:rPr>
          <w:rFonts w:ascii="Times New Roman" w:hAnsi="Times New Roman" w:eastAsia="Times New Roman"/>
          <w:b w:val="0"/>
          <w:sz w:val="28"/>
        </w:rPr>
        <w:t>3.3. Kết luận từ trường hợp Chicland Danang Beach Hotel</w:t>
      </w:r>
    </w:p>
    <w:p>
      <w:pPr>
        <w:spacing w:before="0" w:after="40" w:line="360" w:lineRule="auto"/>
        <w:ind w:firstLine="567"/>
        <w:jc w:val="both"/>
      </w:pPr>
      <w:r>
        <w:rPr>
          <w:rFonts w:ascii="Times New Roman" w:hAnsi="Times New Roman" w:eastAsia="Times New Roman"/>
          <w:b w:val="0"/>
          <w:sz w:val="28"/>
        </w:rPr>
        <w:t>Từ trường hợp Chicland Danang Beach Hotel, có thể rút ra rằng đối với khách sạn cao cấp, đạo đức kinh doanh không thể chỉ dừng lại ở hình ảnh sang trọng bên ngoài. Một khách sạn được định vị ở phân khúc cao thường tạo cho khách hàng kỳ vọng về sự chuyên nghiệp, sạch sẽ, an toàn và đáng tin cậy. Vì vậy, các vấn đề liên quan đến môi trường, xử lý chất thải và an toàn thực phẩm phải được xem là tiêu chuẩn cốt lõi trong hoạt động kinh doanh, chứ không phải là phần phụ phía sau dịch vụ.</w:t>
      </w:r>
    </w:p>
    <w:p>
      <w:pPr>
        <w:spacing w:before="0" w:after="40" w:line="360" w:lineRule="auto"/>
        <w:ind w:firstLine="567"/>
        <w:jc w:val="both"/>
      </w:pPr>
      <w:r>
        <w:rPr>
          <w:rFonts w:ascii="Times New Roman" w:hAnsi="Times New Roman" w:eastAsia="Times New Roman"/>
          <w:b w:val="0"/>
          <w:sz w:val="28"/>
        </w:rPr>
        <w:t>Các sai phạm của CHIC-LAND cho thấy chất lượng dịch vụ khách sạn không chỉ nằm ở phòng đẹp, vị trí thuận lợi hoặc thái độ nhân viên, mà còn phụ thuộc vào hệ thống vận hành bên trong. Nếu doanh nghiệp không vận hành đúng công trình xử lý chất thải, quản lý rác thải không đúng quy định hoặc không thực hiện đầy đủ kiểm thực và lưu mẫu thức ăn, khả năng bảo vệ sức khỏe và quyền lợi của khách hàng sẽ bị suy giảm.</w:t>
      </w:r>
    </w:p>
    <w:p>
      <w:pPr>
        <w:spacing w:before="0" w:after="40" w:line="360" w:lineRule="auto"/>
        <w:ind w:firstLine="567"/>
        <w:jc w:val="both"/>
      </w:pPr>
      <w:r>
        <w:rPr>
          <w:rFonts w:ascii="Times New Roman" w:hAnsi="Times New Roman" w:eastAsia="Times New Roman"/>
          <w:b w:val="0"/>
          <w:sz w:val="28"/>
        </w:rPr>
        <w:t>Trường hợp này cũng cho thấy đạo đức kinh doanh phải được thể hiện bằng quy trình cụ thể, không chỉ bằng khẩu hiệu quảng bá. Một doanh nghiệp có trách nhiệm cần có người phụ trách rõ ràng, quy trình kiểm tra định kỳ, hồ sơ theo dõi, cơ chế xử lý sự cố và đào tạo nhân viên. Nếu chỉ chú trọng hình ảnh bên ngoài mà xem nhẹ các khâu kỹ thuật, thương hiệu sẽ dễ bị tổn thương khi sai phạm được phát hiện.</w:t>
      </w:r>
    </w:p>
    <w:p>
      <w:pPr>
        <w:spacing w:before="0" w:after="40" w:line="360" w:lineRule="auto"/>
        <w:ind w:firstLine="567"/>
        <w:jc w:val="both"/>
      </w:pPr>
      <w:r>
        <w:rPr>
          <w:rFonts w:ascii="Times New Roman" w:hAnsi="Times New Roman" w:eastAsia="Times New Roman"/>
          <w:b w:val="0"/>
          <w:sz w:val="28"/>
        </w:rPr>
        <w:t>Sự đối lập giữa hình ảnh “xanh” và các vi phạm môi trường làm hậu quả về uy tín trở nên nghiêm trọng hơn. Khi doanh nghiệp xây dựng thông điệp thương hiệu dựa trên tính bền vững, khách hàng có quyền kỳ vọng hoạt động thực tế phải phù hợp với thông điệp đó. Nếu lời quảng bá và thực tế vận hành không thống nhất, khách hàng không chỉ nghi ngờ một quy trình cụ thể mà còn nghi ngờ mức độ trung thực của toàn bộ thương hiệu.</w:t>
      </w:r>
    </w:p>
    <w:p>
      <w:pPr>
        <w:spacing w:before="0" w:after="40" w:line="360" w:lineRule="auto"/>
        <w:ind w:firstLine="567"/>
        <w:jc w:val="both"/>
      </w:pPr>
      <w:r>
        <w:rPr>
          <w:rFonts w:ascii="Times New Roman" w:hAnsi="Times New Roman" w:eastAsia="Times New Roman"/>
          <w:b w:val="0"/>
          <w:sz w:val="28"/>
        </w:rPr>
        <w:t>Khoản phạt và chi phí khắc phục cho thấy những sai sót trong vận hành có thể gây thiệt hại lớn. Sau khi xử lý sai phạm, doanh nghiệp vẫn cần duy trì quy trình đúng trong thời gian dài để khách hàng và đối tác tin tưởng trở lại.</w:t>
      </w:r>
    </w:p>
    <w:p>
      <w:pPr>
        <w:spacing w:before="0" w:after="40" w:line="360" w:lineRule="auto"/>
        <w:ind w:firstLine="567"/>
        <w:jc w:val="both"/>
      </w:pPr>
      <w:r>
        <w:rPr>
          <w:rFonts w:ascii="Times New Roman" w:hAnsi="Times New Roman" w:eastAsia="Times New Roman"/>
          <w:b w:val="0"/>
          <w:sz w:val="28"/>
        </w:rPr>
        <w:t>Vì vậy, kết luận rút ra từ Chicland là doanh nghiệp khách sạn muốn phát triển bền vững phải xây dựng sự thống nhất giữa hình ảnh thương hiệu, chất lượng phục vụ và trách nhiệm thực tế. Sự chuyên nghiệp không chỉ thể hiện ở cách tiếp đón khách mà còn ở việc bảo vệ sức khỏe khách hàng, bảo vệ môi trường và tuân thủ các tiêu chuẩn vận hành.</w:t>
      </w:r>
    </w:p>
    <w:p>
      <w:pPr>
        <w:spacing w:before="0" w:after="40" w:line="360" w:lineRule="auto"/>
        <w:ind w:firstLine="567"/>
        <w:jc w:val="both"/>
      </w:pPr>
      <w:r>
        <w:rPr>
          <w:rFonts w:ascii="Times New Roman" w:hAnsi="Times New Roman" w:eastAsia="Times New Roman"/>
          <w:b w:val="0"/>
          <w:sz w:val="28"/>
        </w:rPr>
        <w:t>3.4. Kết luận chung</w:t>
      </w:r>
    </w:p>
    <w:p>
      <w:pPr>
        <w:spacing w:before="0" w:after="40" w:line="360" w:lineRule="auto"/>
        <w:ind w:firstLine="567"/>
        <w:jc w:val="both"/>
      </w:pPr>
      <w:r>
        <w:rPr>
          <w:rFonts w:ascii="Times New Roman" w:hAnsi="Times New Roman" w:eastAsia="Times New Roman"/>
          <w:b w:val="0"/>
          <w:sz w:val="28"/>
        </w:rPr>
        <w:t>Qua ba trường hợp trên, có thể thấy đạo đức kinh doanh giữ vai trò quan trọng trong ngành nhà hàng – khách sạn. Hoạt động của doanh nghiệp liên quan trực tiếp đến tài sản, sức khỏe, sự an toàn của khách hàng và môi trường xung quanh. Vì vậy, doanh nghiệp cần cân bằng mục tiêu lợi nhuận với quyền lợi của khách hàng và cộng đồng.</w:t>
      </w:r>
    </w:p>
    <w:p>
      <w:pPr>
        <w:spacing w:before="0" w:after="40" w:line="360" w:lineRule="auto"/>
        <w:ind w:firstLine="567"/>
        <w:jc w:val="both"/>
      </w:pPr>
      <w:r>
        <w:rPr>
          <w:rFonts w:ascii="Times New Roman" w:hAnsi="Times New Roman" w:eastAsia="Times New Roman"/>
          <w:b w:val="0"/>
          <w:sz w:val="28"/>
        </w:rPr>
        <w:t>Ba trường hợp cho thấy đạo đức được thể hiện bằng hành vi cụ thể. Mường Thanh đặt ra bài học về tuân thủ pháp luật, minh bạch công năng và bảo vệ người mua; Mỹ Hạnh Seafood nhấn mạnh sự rõ ràng trong giá cả, giao tiếp với khách và trách nhiệm đối với nước thải; Chicland cho thấy hình ảnh thương hiệu phải thống nhất với quản trị môi trường và an toàn thực phẩm.</w:t>
      </w:r>
    </w:p>
    <w:p>
      <w:pPr>
        <w:spacing w:before="0" w:after="40" w:line="360" w:lineRule="auto"/>
        <w:ind w:firstLine="567"/>
        <w:jc w:val="both"/>
      </w:pPr>
      <w:r>
        <w:rPr>
          <w:rFonts w:ascii="Times New Roman" w:hAnsi="Times New Roman" w:eastAsia="Times New Roman"/>
          <w:b w:val="0"/>
          <w:sz w:val="28"/>
        </w:rPr>
        <w:t>Đạo đức kinh doanh không tách rời pháp luật nhưng cũng không chỉ dừng ở việc tránh bị xử phạt. Doanh nghiệp còn phải chủ động cung cấp thông tin dễ hiểu, phòng ngừa rủi ro, khắc phục sai sót thực chất và không chuyển chi phí kinh doanh sang khách hàng hoặc xã hội. Nếu thiếu minh bạch và trách nhiệm, hậu quả thường vượt xa tiền phạt, bao gồm chi phí sửa chữa, giám sát, khiếu nại và suy giảm uy tín.</w:t>
      </w:r>
    </w:p>
    <w:p>
      <w:pPr>
        <w:spacing w:before="0" w:after="40" w:line="360" w:lineRule="auto"/>
        <w:ind w:firstLine="567"/>
        <w:jc w:val="both"/>
      </w:pPr>
      <w:r>
        <w:rPr>
          <w:rFonts w:ascii="Times New Roman" w:hAnsi="Times New Roman" w:eastAsia="Times New Roman"/>
          <w:b w:val="0"/>
          <w:sz w:val="28"/>
        </w:rPr>
        <w:t>Tóm lại, trung thực, tuân thủ, an toàn và trách nhiệm môi trường không đối lập với lợi nhuận mà giúp doanh nghiệp hạn chế rủi ro, giữ chân khách hàng và bảo vệ thương hiệu. Chỉ khi lợi ích kinh tế được cân bằng với quyền lợi của người lao động, khách hàng và cộng đồng, doanh nghiệp nhà hàng – khách sạn mới có thể phát triển ổn định và đóng góp tích cực cho hình ảnh du lịch của địa phương.</w:t>
      </w:r>
    </w:p>
    <w:p>
      <w:pPr>
        <w:spacing w:before="160" w:after="240" w:line="360" w:lineRule="auto"/>
        <w:jc w:val="left"/>
      </w:pPr>
      <w:r>
        <w:rPr>
          <w:rFonts w:ascii="Times New Roman" w:hAnsi="Times New Roman" w:eastAsia="Times New Roman"/>
          <w:b/>
          <w:sz w:val="34"/>
        </w:rPr>
        <w:t>TÀI LIỆU THAM KHẢO</w:t>
      </w:r>
    </w:p>
    <w:p>
      <w:pPr>
        <w:spacing w:before="0" w:after="40" w:line="360" w:lineRule="auto"/>
        <w:ind w:firstLine="567"/>
        <w:jc w:val="both"/>
      </w:pPr>
      <w:r>
        <w:rPr>
          <w:rFonts w:ascii="Times New Roman" w:hAnsi="Times New Roman" w:eastAsia="Times New Roman"/>
          <w:b w:val="0"/>
          <w:sz w:val="28"/>
        </w:rPr>
        <w:t>1. Báo Đầu tư. (2018). Tổ hợp Khách sạn Mường Thanh và Căn hộ cao cấp Sơn Trà sai phạm những gì? https://baodautu.vn/batdongsan/to-hop-khach-san-muong-thanh-va-can-ho-cao-cap-son-tra-sai-pham-nhung-gi-d83623.html</w:t>
      </w:r>
    </w:p>
    <w:p>
      <w:pPr>
        <w:spacing w:before="0" w:after="40" w:line="360" w:lineRule="auto"/>
        <w:ind w:firstLine="567"/>
        <w:jc w:val="both"/>
      </w:pPr>
      <w:r>
        <w:rPr>
          <w:rFonts w:ascii="Times New Roman" w:hAnsi="Times New Roman" w:eastAsia="Times New Roman"/>
          <w:b w:val="0"/>
          <w:sz w:val="28"/>
        </w:rPr>
        <w:t>2. Báo Nhân Dân. (2025, 13 tháng 5). Đà Nẵng xử lý nguồn nước thải gây ô nhiễm các tuyến đường ven biển. https://nhandan.vn/da-nang-xu-ly-nguon-nuoc-thai-gay-o-nhiem-cac-tuyen-duong-ven-bien-post879392.html</w:t>
      </w:r>
    </w:p>
    <w:p>
      <w:pPr>
        <w:spacing w:before="0" w:after="40" w:line="360" w:lineRule="auto"/>
        <w:ind w:firstLine="567"/>
        <w:jc w:val="both"/>
      </w:pPr>
      <w:r>
        <w:rPr>
          <w:rFonts w:ascii="Times New Roman" w:hAnsi="Times New Roman" w:eastAsia="Times New Roman"/>
          <w:b w:val="0"/>
          <w:sz w:val="28"/>
        </w:rPr>
        <w:t>3. Báo Nhân Dân. (2025, 15 tháng 9). Đà Nẵng xử phạt một doanh nghiệp gần 570 triệu đồng vì vi phạm các quy định về bảo vệ môi trường. https://nhandan.vn/da-nang-xu-phat-mot-doanh-nghiep-gan-570-trieu-dong-vi-vi-pham-cac-quy-dinh-ve-bao-ve-moi-truong-post908265.html</w:t>
      </w:r>
    </w:p>
    <w:p>
      <w:pPr>
        <w:spacing w:before="0" w:after="40" w:line="360" w:lineRule="auto"/>
        <w:ind w:firstLine="567"/>
        <w:jc w:val="both"/>
      </w:pPr>
      <w:r>
        <w:rPr>
          <w:rFonts w:ascii="Times New Roman" w:hAnsi="Times New Roman" w:eastAsia="Times New Roman"/>
          <w:b w:val="0"/>
          <w:sz w:val="28"/>
        </w:rPr>
        <w:t>4. Cổng thông tin điện tử thành phố Đà Nẵng. (2018, 7 tháng 12). Thông cáo báo chí về xử lý công trình xây dựng trái phép tại Tổ hợp Khách sạn Mường Thanh và Căn hộ chung cư cao cấp Sơn Trà, quận Ngũ Hành Sơn. https://www.danang.gov.vn/vi/web/dng/w/thong-cao-bao-chi-ve-xu-ly-cong-trinh-xay-dung-trai-phep-tai-to-hop-khach-san-muong-thanh-va-can-ho-chung-cu-cao-cap-son-tra-quan-ngu-hanh-son-i</w:t>
      </w:r>
    </w:p>
    <w:p>
      <w:pPr>
        <w:spacing w:before="0" w:after="40" w:line="360" w:lineRule="auto"/>
        <w:ind w:firstLine="567"/>
        <w:jc w:val="both"/>
      </w:pPr>
      <w:r>
        <w:rPr>
          <w:rFonts w:ascii="Times New Roman" w:hAnsi="Times New Roman" w:eastAsia="Times New Roman"/>
          <w:b w:val="0"/>
          <w:sz w:val="28"/>
        </w:rPr>
        <w:t>5. Cổng thông tin điện tử thành phố Đà Nẵng. (2025, 15 tháng 9). Xử phạt vi phạm hành chính Công ty CP CHIC-LAND. https://danang.gov.vn/vi/w/xu-phat-vi-pham-hanh-chinh-cong-ty-cp-chic-land</w:t>
      </w:r>
    </w:p>
    <w:p>
      <w:pPr>
        <w:spacing w:before="0" w:after="40" w:line="360" w:lineRule="auto"/>
        <w:ind w:firstLine="567"/>
        <w:jc w:val="both"/>
      </w:pPr>
      <w:r>
        <w:rPr>
          <w:rFonts w:ascii="Times New Roman" w:hAnsi="Times New Roman" w:eastAsia="Times New Roman"/>
          <w:b w:val="0"/>
          <w:sz w:val="28"/>
        </w:rPr>
        <w:t>6. Người Lao Động. (2019, 19 tháng 8). Nhà hàng ở Đà Nẵng lý giải hóa đơn bữa ăn hải sản 85 triệu đồng. https://nld.com.vn/thoi-su/nha-hang-o-da-nang-ly-giai-hoa-don-bua-an-hai-san-85-trieu-dong-2019081916011561.htm</w:t>
      </w:r>
    </w:p>
    <w:p>
      <w:pPr>
        <w:spacing w:before="0" w:after="40" w:line="360" w:lineRule="auto"/>
        <w:ind w:firstLine="567"/>
        <w:jc w:val="both"/>
      </w:pPr>
      <w:r>
        <w:rPr>
          <w:rFonts w:ascii="Times New Roman" w:hAnsi="Times New Roman" w:eastAsia="Times New Roman"/>
          <w:b w:val="0"/>
          <w:sz w:val="28"/>
        </w:rPr>
        <w:t>7. Tuổi Trẻ Online. (2025, 13 tháng 5). Nhà hàng nổi tiếng Mỹ Hạnh ở Đà Nẵng không tuân thủ đấu nối nước thải gây mùi hôi. https://tuoitre.vn/nha-hang-noi-tieng-my-hanh-o-da-nangkhong-tuan-thu-dau-noi-nuoc-thai-gay-mui-hoi-20250513163602048.htm</w:t>
      </w:r>
    </w:p>
    <w:p>
      <w:pPr>
        <w:spacing w:before="0" w:after="40" w:line="360" w:lineRule="auto"/>
        <w:ind w:firstLine="567"/>
        <w:jc w:val="both"/>
      </w:pPr>
      <w:r>
        <w:rPr>
          <w:rFonts w:ascii="Times New Roman" w:hAnsi="Times New Roman" w:eastAsia="Times New Roman"/>
          <w:b w:val="0"/>
          <w:sz w:val="28"/>
        </w:rPr>
        <w:t>8. Tuổi Trẻ Online. (2025, 15 tháng 9). Một khách sạn ven biển Đà Nẵng vi phạm 9 lỗi về môi trường, phạt 564 triệu đồng. https://tuoitre.vn/mot-khach-san-ven-bien-da-nang-vi-pham-9-loi-ve-moi-truong-phat-564-trieu-dong-20250915164829769.htm</w:t>
      </w:r>
    </w:p>
    <w:p>
      <w:pPr>
        <w:spacing w:before="0" w:after="40" w:line="360" w:lineRule="auto"/>
        <w:ind w:firstLine="567"/>
        <w:jc w:val="both"/>
      </w:pPr>
      <w:r>
        <w:rPr>
          <w:rFonts w:ascii="Times New Roman" w:hAnsi="Times New Roman" w:eastAsia="Times New Roman"/>
          <w:b w:val="0"/>
          <w:sz w:val="28"/>
        </w:rPr>
        <w:t>9. VietnamNet. (2024). Thông tin mới nhất về tháo dỡ 86 căn hộ sai phạm ở Tổ hợp Mường Thanh Đà Nẵng. https://vietnamnet.vn/thong-tin-moi-nhat-ve-thao-do-86-can-ho-sai-pham-o-to-hop-muong-thanh-da-nang-2309223.html</w:t>
      </w:r>
    </w:p>
    <w:sectPr w:rsidR="00FC693F" w:rsidRPr="0006063C" w:rsidSect="00034616">
      <w:footerReference w:type="default" r:id="rId12"/>
      <w:pgSz w:w="11906" w:h="16838"/>
      <w:pgMar w:top="1134" w:right="1247" w:bottom="1134" w:left="1531" w:header="720" w:footer="720" w:gutter="0"/>
      <w:cols w:space="720"/>
      <w:docGrid w:linePitch="360"/>
      <w:pgNumType w:start="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4</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