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NGHIỆP – KHÔNG PHẢI SỐ LIỆU THẬT CỦA TRƯỜNG QUỐC TẾ – ĐHQGHN</w:t>
      </w:r>
    </w:p>
    <w:p>
      <w:pPr>
        <w:pStyle w:val="Heading1"/>
      </w:pPr>
      <w:r>
        <w:t>ĐỊNH NGHĨA CHỈ TIÊU VÀ NGUỒN SỐ LIỆU ƯU TIÊN</w:t>
      </w:r>
    </w:p>
    <w:p>
      <w:r>
        <w:t>C01 – Số nhập học: tính theo danh sách nhập học chính thức do Phòng Đào tạo chốt ngày 30/10/2025. Khi số của Phòng Truyền thông và Tuyển sinh khác, lấy số của Phòng Đào tạo và ghi chú chênh lệch.</w:t>
      </w:r>
    </w:p>
    <w:p>
      <w:r>
        <w:t>C02 – Số sinh viên đang học: lấy từ hệ thống quản lý đào tạo tại ngày 28/02/2026; bao gồm sinh viên chương trình liên kết nhưng không gồm học viên đào tạo liên tục.</w:t>
      </w:r>
    </w:p>
    <w:p>
      <w:r>
        <w:t>C03 – Tỷ lệ tốt nghiệp đúng hạn = số tốt nghiệp đúng hạn / số thuộc diện xét tốt nghiệp trong kỳ, nhân 100, làm tròn một chữ số thập phân.</w:t>
      </w:r>
    </w:p>
    <w:p>
      <w:r>
        <w:t>C04 – Bài báo công bố quốc tế: tính mỗi bài một lần cho toàn Trường dù nhiều đơn vị cùng đồng tác giả; nguồn ưu tiên là danh mục của Phòng KHCN và Hợp tác phát triển.</w:t>
      </w:r>
    </w:p>
    <w:p>
      <w:r>
        <w:t>C05 – Kinh phí: đơn vị tính triệu đồng; đơn vị báo cáo bằng tỷ đồng cần quy đổi (1 tỷ = 1.000 triệu).</w:t>
      </w:r>
    </w:p>
    <w:p>
      <w:r>
        <w:t>C06 – Tỷ lệ hoàn thành nhiệm vụ = số nhiệm vụ hoàn thành / tổng số nhiệm vụ được giao trong kỳ, nhân 100.</w:t>
      </w:r>
    </w:p>
    <w:p>
      <w:r>
        <w:t>Thứ tự ưu tiên nguồn khi có mâu thuẫn: (1) hệ thống/danh sách chính thức của phòng chuyên môn; (2) báo cáo của đơn vị; (3) số liệu truyền miệng, không chấp nhận.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