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DỮ LIỆU GIẢ LẬP PHỤC VỤ THỬ NGHIỆP – KHÔNG PHẢI SỐ LIỆU THẬT CỦA TRƯỜNG QUỐC TẾ – ĐHQGHN</w:t>
      </w:r>
    </w:p>
    <w:p>
      <w:r>
        <w:t>TRƯỜNG QUỐC TẾ – ĐHQGHN</w:t>
        <w:br/>
        <w:t>PHÒNG ĐÀO TẠO</w:t>
      </w:r>
    </w:p>
    <w:p>
      <w:pPr>
        <w:pStyle w:val="Heading1"/>
      </w:pPr>
      <w:r>
        <w:t>BÁO CÁO 6 THÁNG ĐẦU NĂM HỌC 2025–2026</w:t>
      </w:r>
    </w:p>
    <w:p>
      <w:r>
        <w:t>Kỳ báo cáo: 01/09/2025 – 28/02/2026. Ngày lập: 06/03/2026.</w:t>
      </w:r>
    </w:p>
    <w:p>
      <w:pPr>
        <w:pStyle w:val="Heading2"/>
      </w:pPr>
      <w:r>
        <w:t>I. Kết quả thực hiện nhiệm vụ trọng tâm</w:t>
      </w:r>
    </w:p>
    <w:p>
      <w:r>
        <w:t>Việc lưu trữ hồ sơ, minh chứng được thực hiện theo quy định; các văn bản, biên bản liên quan đã được cập nhật lên hệ thống quản lý văn bản của Trường.</w:t>
      </w:r>
    </w:p>
    <w:p>
      <w:r>
        <w:t>Đơn vị đã chủ động phối hợp với các phòng, khoa liên quan để giải quyết các phát sinh trong kỳ báo cáo, đồng thời ghi nhận ý kiến của người học và giảng viên để điều chỉnh kịp thời.</w:t>
      </w:r>
    </w:p>
    <w:p>
      <w:r>
        <w:t>Các lớp học phần có sĩ số thấp được rà soát để gộp lớp hoặc tổ chức học ghép, bảo đảm hiệu quả sử dụng giảng đường và giảng viên.</w:t>
      </w:r>
    </w:p>
    <w:p>
      <w:r>
        <w:t>Kế hoạch giảng dạy học kỳ 1 được thực hiện theo thời khóa biểu đã ban hành; việc điều chỉnh lịch dạy được thông báo trước ít nhất 03 ngày làm việc. Công tác coi thi, chấm thi tuân thủ quy chế hiện hành.</w:t>
      </w:r>
    </w:p>
    <w:p>
      <w:r>
        <w:t>Trong kỳ, Phòng được giao 25 nhiệm vụ trọng tâm, đã hoàn thành 22 nhiệm vụ, 3 nhiệm vụ chuyển sang kỳ sau (xây dựng bộ chuẩn đầu ra mới cho hai chương trình, rà soát quy chế đào tạo theo văn bản mới, nâng cấp cổng thông tin sinh viên). Tỷ lệ hoàn thành đạt 88%.</w:t>
      </w:r>
    </w:p>
    <w:p>
      <w:pPr>
        <w:pStyle w:val="Heading2"/>
      </w:pPr>
      <w:r>
        <w:t>II. Số liệu theo chỉ tiêu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Chỉ tiêu</w:t>
            </w:r>
          </w:p>
        </w:tc>
        <w:tc>
          <w:tcPr>
            <w:tcW w:type="dxa" w:w="2160"/>
          </w:tcPr>
          <w:p>
            <w:r>
              <w:t>Số liệu</w:t>
            </w:r>
          </w:p>
        </w:tc>
        <w:tc>
          <w:tcPr>
            <w:tcW w:type="dxa" w:w="2160"/>
          </w:tcPr>
          <w:p>
            <w:r>
              <w:t>Nguồn</w:t>
            </w:r>
          </w:p>
        </w:tc>
      </w:tr>
      <w:tr>
        <w:tc>
          <w:tcPr>
            <w:tcW w:type="dxa" w:w="2160"/>
          </w:tcPr>
          <w:p>
            <w:r>
              <w:t>C01</w:t>
            </w:r>
          </w:p>
        </w:tc>
        <w:tc>
          <w:tcPr>
            <w:tcW w:type="dxa" w:w="2160"/>
          </w:tcPr>
          <w:p>
            <w:r>
              <w:t>Sinh viên nhập học đợt tuyển sinh 2025</w:t>
            </w:r>
          </w:p>
        </w:tc>
        <w:tc>
          <w:tcPr>
            <w:tcW w:type="dxa" w:w="2160"/>
          </w:tcPr>
          <w:p>
            <w:r>
              <w:t>1.120</w:t>
            </w:r>
          </w:p>
        </w:tc>
        <w:tc>
          <w:tcPr>
            <w:tcW w:type="dxa" w:w="2160"/>
          </w:tcPr>
          <w:p>
            <w:r>
              <w:t>Danh sách nhập học chốt 30/10/2025</w:t>
            </w:r>
          </w:p>
        </w:tc>
      </w:tr>
      <w:tr>
        <w:tc>
          <w:tcPr>
            <w:tcW w:type="dxa" w:w="2160"/>
          </w:tcPr>
          <w:p>
            <w:r>
              <w:t>C02</w:t>
            </w:r>
          </w:p>
        </w:tc>
        <w:tc>
          <w:tcPr>
            <w:tcW w:type="dxa" w:w="2160"/>
          </w:tcPr>
          <w:p>
            <w:r>
              <w:t>Sinh viên đang học tại 28/02/2026</w:t>
            </w:r>
          </w:p>
        </w:tc>
        <w:tc>
          <w:tcPr>
            <w:tcW w:type="dxa" w:w="2160"/>
          </w:tcPr>
          <w:p>
            <w:r>
              <w:t>4.236</w:t>
            </w:r>
          </w:p>
        </w:tc>
        <w:tc>
          <w:tcPr>
            <w:tcW w:type="dxa" w:w="2160"/>
          </w:tcPr>
          <w:p>
            <w:r>
              <w:t>Hệ thống quản lý đào tạo</w:t>
            </w:r>
          </w:p>
        </w:tc>
      </w:tr>
      <w:tr>
        <w:tc>
          <w:tcPr>
            <w:tcW w:type="dxa" w:w="2160"/>
          </w:tcPr>
          <w:p>
            <w:r>
              <w:t>C03</w:t>
            </w:r>
          </w:p>
        </w:tc>
        <w:tc>
          <w:tcPr>
            <w:tcW w:type="dxa" w:w="2160"/>
          </w:tcPr>
          <w:p>
            <w:r>
              <w:t>Tỷ lệ tốt nghiệp đúng hạn</w:t>
            </w:r>
          </w:p>
        </w:tc>
        <w:tc>
          <w:tcPr>
            <w:tcW w:type="dxa" w:w="2160"/>
          </w:tcPr>
          <w:p>
            <w:r>
              <w:t>91,4% (1.168/1.277)</w:t>
            </w:r>
          </w:p>
        </w:tc>
        <w:tc>
          <w:tcPr>
            <w:tcW w:type="dxa" w:w="2160"/>
          </w:tcPr>
          <w:p>
            <w:r>
              <w:t>Danh sách xét tốt nghiệp các đợt</w:t>
            </w:r>
          </w:p>
        </w:tc>
      </w:tr>
      <w:tr>
        <w:tc>
          <w:tcPr>
            <w:tcW w:type="dxa" w:w="2160"/>
          </w:tcPr>
          <w:p>
            <w:r>
              <w:t>C06</w:t>
            </w:r>
          </w:p>
        </w:tc>
        <w:tc>
          <w:tcPr>
            <w:tcW w:type="dxa" w:w="2160"/>
          </w:tcPr>
          <w:p>
            <w:r>
              <w:t>Tỷ lệ hoàn thành nhiệm vụ</w:t>
            </w:r>
          </w:p>
        </w:tc>
        <w:tc>
          <w:tcPr>
            <w:tcW w:type="dxa" w:w="2160"/>
          </w:tcPr>
          <w:p>
            <w:r>
              <w:t>88% (22/25)</w:t>
            </w:r>
          </w:p>
        </w:tc>
        <w:tc>
          <w:tcPr>
            <w:tcW w:type="dxa" w:w="2160"/>
          </w:tcPr>
          <w:p>
            <w:r>
              <w:t>Bảng theo dõi nhiệm vụ</w:t>
            </w:r>
          </w:p>
        </w:tc>
      </w:tr>
    </w:tbl>
    <w:p>
      <w:r>
        <w:t>Cơ cấu sinh viên đang học theo chương trình: ĐHQGHN cấp bằng 2.540; liên kết quốc tế 1.060; song bằng 436; cử nhân – thạc sĩ tích hợp 120; tiếng Anh dự bị và mô hình 2+2 80.</w:t>
      </w:r>
    </w:p>
    <w:tbl>
      <w:tblPr>
        <w:tblStyle w:val="TableGrid"/>
        <w:tblW w:type="auto" w:w="0"/>
        <w:tblLook w:firstColumn="1" w:firstRow="1" w:lastColumn="0" w:lastRow="0" w:noHBand="0" w:noVBand="1" w:val="04A0"/>
      </w:tblPr>
      <w:tblGrid>
        <w:gridCol w:w="2880"/>
        <w:gridCol w:w="2880"/>
        <w:gridCol w:w="2880"/>
      </w:tblGrid>
      <w:tr>
        <w:tc>
          <w:tcPr>
            <w:tcW w:type="dxa" w:w="2880"/>
          </w:tcPr>
          <w:p>
            <w:r>
              <w:t>Chương trình</w:t>
            </w:r>
          </w:p>
        </w:tc>
        <w:tc>
          <w:tcPr>
            <w:tcW w:type="dxa" w:w="2880"/>
          </w:tcPr>
          <w:p>
            <w:r>
              <w:t>Số sinh viên</w:t>
            </w:r>
          </w:p>
        </w:tc>
        <w:tc>
          <w:tcPr>
            <w:tcW w:type="dxa" w:w="2880"/>
          </w:tcPr>
          <w:p>
            <w:r>
              <w:t>Tỷ lệ</w:t>
            </w:r>
          </w:p>
        </w:tc>
      </w:tr>
      <w:tr>
        <w:tc>
          <w:tcPr>
            <w:tcW w:type="dxa" w:w="2880"/>
          </w:tcPr>
          <w:p>
            <w:r>
              <w:t>ĐHQGHN cấp bằng</w:t>
            </w:r>
          </w:p>
        </w:tc>
        <w:tc>
          <w:tcPr>
            <w:tcW w:type="dxa" w:w="2880"/>
          </w:tcPr>
          <w:p>
            <w:r>
              <w:t>2.540</w:t>
            </w:r>
          </w:p>
        </w:tc>
        <w:tc>
          <w:tcPr>
            <w:tcW w:type="dxa" w:w="2880"/>
          </w:tcPr>
          <w:p>
            <w:r>
              <w:t>60,0%</w:t>
            </w:r>
          </w:p>
        </w:tc>
      </w:tr>
      <w:tr>
        <w:tc>
          <w:tcPr>
            <w:tcW w:type="dxa" w:w="2880"/>
          </w:tcPr>
          <w:p>
            <w:r>
              <w:t>Liên kết quốc tế</w:t>
            </w:r>
          </w:p>
        </w:tc>
        <w:tc>
          <w:tcPr>
            <w:tcW w:type="dxa" w:w="2880"/>
          </w:tcPr>
          <w:p>
            <w:r>
              <w:t>1.060</w:t>
            </w:r>
          </w:p>
        </w:tc>
        <w:tc>
          <w:tcPr>
            <w:tcW w:type="dxa" w:w="2880"/>
          </w:tcPr>
          <w:p>
            <w:r>
              <w:t>25,0%</w:t>
            </w:r>
          </w:p>
        </w:tc>
      </w:tr>
      <w:tr>
        <w:tc>
          <w:tcPr>
            <w:tcW w:type="dxa" w:w="2880"/>
          </w:tcPr>
          <w:p>
            <w:r>
              <w:t>Song bằng</w:t>
            </w:r>
          </w:p>
        </w:tc>
        <w:tc>
          <w:tcPr>
            <w:tcW w:type="dxa" w:w="2880"/>
          </w:tcPr>
          <w:p>
            <w:r>
              <w:t>436</w:t>
            </w:r>
          </w:p>
        </w:tc>
        <w:tc>
          <w:tcPr>
            <w:tcW w:type="dxa" w:w="2880"/>
          </w:tcPr>
          <w:p>
            <w:r>
              <w:t>10,3%</w:t>
            </w:r>
          </w:p>
        </w:tc>
      </w:tr>
      <w:tr>
        <w:tc>
          <w:tcPr>
            <w:tcW w:type="dxa" w:w="2880"/>
          </w:tcPr>
          <w:p>
            <w:r>
              <w:t>Cử nhân – thạc sĩ tích hợp</w:t>
            </w:r>
          </w:p>
        </w:tc>
        <w:tc>
          <w:tcPr>
            <w:tcW w:type="dxa" w:w="2880"/>
          </w:tcPr>
          <w:p>
            <w:r>
              <w:t>120</w:t>
            </w:r>
          </w:p>
        </w:tc>
        <w:tc>
          <w:tcPr>
            <w:tcW w:type="dxa" w:w="2880"/>
          </w:tcPr>
          <w:p>
            <w:r>
              <w:t>2,8%</w:t>
            </w:r>
          </w:p>
        </w:tc>
      </w:tr>
      <w:tr>
        <w:tc>
          <w:tcPr>
            <w:tcW w:type="dxa" w:w="2880"/>
          </w:tcPr>
          <w:p>
            <w:r>
              <w:t>Tiếng Anh dự bị, 2+2</w:t>
            </w:r>
          </w:p>
        </w:tc>
        <w:tc>
          <w:tcPr>
            <w:tcW w:type="dxa" w:w="2880"/>
          </w:tcPr>
          <w:p>
            <w:r>
              <w:t>80</w:t>
            </w:r>
          </w:p>
        </w:tc>
        <w:tc>
          <w:tcPr>
            <w:tcW w:type="dxa" w:w="2880"/>
          </w:tcPr>
          <w:p>
            <w:r>
              <w:t>1,9%</w:t>
            </w:r>
          </w:p>
        </w:tc>
      </w:tr>
      <w:tr>
        <w:tc>
          <w:tcPr>
            <w:tcW w:type="dxa" w:w="2880"/>
          </w:tcPr>
          <w:p>
            <w:r>
              <w:t>Tổng</w:t>
            </w:r>
          </w:p>
        </w:tc>
        <w:tc>
          <w:tcPr>
            <w:tcW w:type="dxa" w:w="2880"/>
          </w:tcPr>
          <w:p>
            <w:r>
              <w:t>4.236</w:t>
            </w:r>
          </w:p>
        </w:tc>
        <w:tc>
          <w:tcPr>
            <w:tcW w:type="dxa" w:w="2880"/>
          </w:tcPr>
          <w:p>
            <w:r>
              <w:t>100%</w:t>
            </w:r>
          </w:p>
        </w:tc>
      </w:tr>
    </w:tbl>
    <w:p>
      <w:pPr>
        <w:pStyle w:val="Heading2"/>
      </w:pPr>
      <w:r>
        <w:t>III. Kinh phí</w:t>
      </w:r>
    </w:p>
    <w:p>
      <w:r>
        <w:t>Kinh phí thực hiện nhiệm vụ đào tạo trong kỳ: 2.870 triệu đồng, trong đó chi coi thi, chấm thi 640 triệu đồng; chi tổ chức xét tốt nghiệp và lễ tốt nghiệp 410 triệu đồng; chi mua sắm học liệu, phần mềm 520 triệu đồng; chi khác 1.300 triệu đồng.</w:t>
      </w:r>
    </w:p>
    <w:p>
      <w:pPr>
        <w:pStyle w:val="Heading2"/>
      </w:pPr>
      <w:r>
        <w:t>IV. Khó khăn, vướng mắc</w:t>
      </w:r>
    </w:p>
    <w:p>
      <w:r>
        <w:t>Phòng học tại cơ sở Phan Tây Nhạc thiếu vào khung giờ cao điểm (buổi sáng thứ Hai, thứ Ba), phải điều chuyển 14 lớp học phần sang cơ sở Xuân Thủy gây khó khăn cho sinh viên.</w:t>
      </w:r>
    </w:p>
    <w:p>
      <w:r>
        <w:t>Thời gian chờ phản hồi từ các đơn vị đối tác liên kết đối với kết quả học tập của sinh viên trao đổi còn dài, trung bình 21 ngày.</w:t>
      </w:r>
    </w:p>
    <w:p>
      <w:r>
        <w:t>Cổng thông tin sinh viên còn gián đoạn trong các đợt đăng ký học phần với lưu lượng truy cập cao.</w:t>
      </w:r>
    </w:p>
    <w:p>
      <w:pPr>
        <w:pStyle w:val="Heading2"/>
      </w:pPr>
      <w:r>
        <w:t>V. Kiến nghị và kế hoạch 6 tháng cuối năm học</w:t>
      </w:r>
    </w:p>
    <w:p>
      <w:r>
        <w:t>Đề nghị Ban Giám hiệu xem xét bố trí thêm phòng học hoặc điều chỉnh khung giờ học tại cơ sở Phan Tây Nhạc.</w:t>
      </w:r>
    </w:p>
    <w:p>
      <w:r>
        <w:t>Đề nghị Phòng Tổ chức và Quản trị phối hợp nâng cấp hạ tầng cổng sinh viên trước đợt đăng ký học phần học kỳ 2.</w:t>
      </w:r>
    </w:p>
    <w:p>
      <w:r>
        <w:t>Kế hoạch: hoàn thành bộ chuẩn đầu ra mới trước 30/04/2026; tổ chức kỳ thi kết thúc học kỳ 2 từ 01/06/2026.</w:t>
      </w:r>
    </w:p>
    <w:p>
      <w:r>
        <w:t>Các lớp học phần có sĩ số thấp được rà soát để gộp lớp hoặc tổ chức học ghép, bảo đảm hiệu quả sử dụng giảng đường và giảng viên.</w:t>
      </w:r>
    </w:p>
    <w:p>
      <w:r>
        <w:t>Kế hoạch giảng dạy học kỳ 1 được thực hiện theo thời khóa biểu đã ban hành; việc điều chỉnh lịch dạy được thông báo trước ít nhất 03 ngày làm việc. Công tác coi thi, chấm thi tuân thủ quy chế hiện hành.</w:t>
      </w:r>
    </w:p>
    <w:p>
      <w:r>
        <w:t>Việc lưu trữ hồ sơ, minh chứng được thực hiện theo quy định; các văn bản, biên bản liên quan đã được cập nhật lên hệ thống quản lý văn bản của Trường.</w:t>
      </w:r>
    </w:p>
    <w:p>
      <w:r>
        <w:t>Đơn vị đã chủ động phối hợp với các phòng, khoa liên quan để giải quyết các phát sinh trong kỳ báo cáo, đồng thời ghi nhận ý kiến của người học và giảng viên để điều chỉnh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