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DỮ LIỆU GIẢ LẬP PHỤC VỤ THỬ NGHIỆP – KHÔNG PHẢI SỐ LIỆU THẬT CỦA TRƯỜNG QUỐC TẾ – ĐHQGHN</w:t>
      </w:r>
    </w:p>
    <w:p>
      <w:r>
        <w:t>TRƯỜNG QUỐC TẾ – ĐHQGHN</w:t>
        <w:br/>
        <w:t>PHÒNG TRUYỀN THÔNG VÀ TUYỂN SINH</w:t>
      </w:r>
    </w:p>
    <w:p>
      <w:pPr>
        <w:pStyle w:val="Heading1"/>
      </w:pPr>
      <w:r>
        <w:t>BÁO CÁO CÔNG TÁC 6 THÁNG (01/09/2025 – 28/02/2026)</w:t>
      </w:r>
    </w:p>
    <w:p>
      <w:r>
        <w:t>Ngày lập: 05/03/2026.</w:t>
      </w:r>
    </w:p>
    <w:p>
      <w:pPr>
        <w:pStyle w:val="Heading2"/>
      </w:pPr>
      <w:r>
        <w:t>I. Kết quả thực hiện nhiệm vụ trọng tâm</w:t>
      </w:r>
    </w:p>
    <w:p>
      <w:r>
        <w:t>Công tác tuyển sinh năm 2025 được triển khai theo kế hoạch đã được Ban Giám hiệu phê duyệt, bám sát lịch chung và đề án tuyển sinh đã công bố. Các đợt xét tuyển được tổ chức đúng thời hạn, không phát sinh khiếu nại về quy trình.</w:t>
      </w:r>
    </w:p>
    <w:p>
      <w:r>
        <w:t>Đơn vị phối hợp với các khoa rà soát điều kiện xét tuyển theo từng phương thức, đối chiếu dữ liệu thí sinh với hệ thống chung của Bộ trước mỗi đợt công bố kết quả.</w:t>
      </w:r>
    </w:p>
    <w:p>
      <w:r>
        <w:t>Đơn vị đã chủ động phối hợp với các phòng, khoa liên quan để giải quyết các phát sinh trong kỳ báo cáo, đồng thời ghi nhận ý kiến của người học và giảng viên để điều chỉnh kịp thời.</w:t>
      </w:r>
    </w:p>
    <w:p>
      <w:r>
        <w:t>Việc lưu trữ hồ sơ, minh chứng được thực hiện theo quy định; các văn bản, biên bản liên quan đã được cập nhật lên hệ thống quản lý văn bản của Trường.</w:t>
      </w:r>
    </w:p>
    <w:p>
      <w:r>
        <w:t>Tổng số thí sinh đăng ký quan tâm qua các kênh: 6.420; số hồ sơ nộp: 2.310; số trúng tuyển: 1.405; số nhập học đợt 2025: 1.087 (đạt 98,8% chỉ tiêu 1.100). Số sinh viên quốc tế nhập học: 241.</w:t>
      </w:r>
    </w:p>
    <w:p>
      <w:pPr>
        <w:pStyle w:val="Heading2"/>
      </w:pPr>
      <w:r>
        <w:t>II. Số liệu theo chỉ tiêu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Kênh</w:t>
            </w:r>
          </w:p>
        </w:tc>
        <w:tc>
          <w:tcPr>
            <w:tcW w:type="dxa" w:w="1728"/>
          </w:tcPr>
          <w:p>
            <w:r>
              <w:t>Quan tâm</w:t>
            </w:r>
          </w:p>
        </w:tc>
        <w:tc>
          <w:tcPr>
            <w:tcW w:type="dxa" w:w="1728"/>
          </w:tcPr>
          <w:p>
            <w:r>
              <w:t>Nộp hồ sơ</w:t>
            </w:r>
          </w:p>
        </w:tc>
        <w:tc>
          <w:tcPr>
            <w:tcW w:type="dxa" w:w="1728"/>
          </w:tcPr>
          <w:p>
            <w:r>
              <w:t>Trúng tuyển</w:t>
            </w:r>
          </w:p>
        </w:tc>
        <w:tc>
          <w:tcPr>
            <w:tcW w:type="dxa" w:w="1728"/>
          </w:tcPr>
          <w:p>
            <w:r>
              <w:t>Nhập học</w:t>
            </w:r>
          </w:p>
        </w:tc>
      </w:tr>
      <w:tr>
        <w:tc>
          <w:tcPr>
            <w:tcW w:type="dxa" w:w="1728"/>
          </w:tcPr>
          <w:p>
            <w:r>
              <w:t>Biểu mẫu website</w:t>
            </w:r>
          </w:p>
        </w:tc>
        <w:tc>
          <w:tcPr>
            <w:tcW w:type="dxa" w:w="1728"/>
          </w:tcPr>
          <w:p>
            <w:r>
              <w:t>1.980</w:t>
            </w:r>
          </w:p>
        </w:tc>
        <w:tc>
          <w:tcPr>
            <w:tcW w:type="dxa" w:w="1728"/>
          </w:tcPr>
          <w:p>
            <w:r>
              <w:t>702</w:t>
            </w:r>
          </w:p>
        </w:tc>
        <w:tc>
          <w:tcPr>
            <w:tcW w:type="dxa" w:w="1728"/>
          </w:tcPr>
          <w:p>
            <w:r>
              <w:t>431</w:t>
            </w:r>
          </w:p>
        </w:tc>
        <w:tc>
          <w:tcPr>
            <w:tcW w:type="dxa" w:w="1728"/>
          </w:tcPr>
          <w:p>
            <w:r>
              <w:t>338</w:t>
            </w:r>
          </w:p>
        </w:tc>
      </w:tr>
      <w:tr>
        <w:tc>
          <w:tcPr>
            <w:tcW w:type="dxa" w:w="1728"/>
          </w:tcPr>
          <w:p>
            <w:r>
              <w:t>Facebook, mạng xã hội</w:t>
            </w:r>
          </w:p>
        </w:tc>
        <w:tc>
          <w:tcPr>
            <w:tcW w:type="dxa" w:w="1728"/>
          </w:tcPr>
          <w:p>
            <w:r>
              <w:t>1.755</w:t>
            </w:r>
          </w:p>
        </w:tc>
        <w:tc>
          <w:tcPr>
            <w:tcW w:type="dxa" w:w="1728"/>
          </w:tcPr>
          <w:p>
            <w:r>
              <w:t>590</w:t>
            </w:r>
          </w:p>
        </w:tc>
        <w:tc>
          <w:tcPr>
            <w:tcW w:type="dxa" w:w="1728"/>
          </w:tcPr>
          <w:p>
            <w:r>
              <w:t>358</w:t>
            </w:r>
          </w:p>
        </w:tc>
        <w:tc>
          <w:tcPr>
            <w:tcW w:type="dxa" w:w="1728"/>
          </w:tcPr>
          <w:p>
            <w:r>
              <w:t>283</w:t>
            </w:r>
          </w:p>
        </w:tc>
      </w:tr>
      <w:tr>
        <w:tc>
          <w:tcPr>
            <w:tcW w:type="dxa" w:w="1728"/>
          </w:tcPr>
          <w:p>
            <w:r>
              <w:t>Hotline, ai.vnuis.edu.vn</w:t>
            </w:r>
          </w:p>
        </w:tc>
        <w:tc>
          <w:tcPr>
            <w:tcW w:type="dxa" w:w="1728"/>
          </w:tcPr>
          <w:p>
            <w:r>
              <w:t>640</w:t>
            </w:r>
          </w:p>
        </w:tc>
        <w:tc>
          <w:tcPr>
            <w:tcW w:type="dxa" w:w="1728"/>
          </w:tcPr>
          <w:p>
            <w:r>
              <w:t>245</w:t>
            </w:r>
          </w:p>
        </w:tc>
        <w:tc>
          <w:tcPr>
            <w:tcW w:type="dxa" w:w="1728"/>
          </w:tcPr>
          <w:p>
            <w:r>
              <w:t>152</w:t>
            </w:r>
          </w:p>
        </w:tc>
        <w:tc>
          <w:tcPr>
            <w:tcW w:type="dxa" w:w="1728"/>
          </w:tcPr>
          <w:p>
            <w:r>
              <w:t>117</w:t>
            </w:r>
          </w:p>
        </w:tc>
      </w:tr>
      <w:tr>
        <w:tc>
          <w:tcPr>
            <w:tcW w:type="dxa" w:w="1728"/>
          </w:tcPr>
          <w:p>
            <w:r>
              <w:t>Ngày hội, tư vấn trực tiếp</w:t>
            </w:r>
          </w:p>
        </w:tc>
        <w:tc>
          <w:tcPr>
            <w:tcW w:type="dxa" w:w="1728"/>
          </w:tcPr>
          <w:p>
            <w:r>
              <w:t>1.215</w:t>
            </w:r>
          </w:p>
        </w:tc>
        <w:tc>
          <w:tcPr>
            <w:tcW w:type="dxa" w:w="1728"/>
          </w:tcPr>
          <w:p>
            <w:r>
              <w:t>498</w:t>
            </w:r>
          </w:p>
        </w:tc>
        <w:tc>
          <w:tcPr>
            <w:tcW w:type="dxa" w:w="1728"/>
          </w:tcPr>
          <w:p>
            <w:r>
              <w:t>301</w:t>
            </w:r>
          </w:p>
        </w:tc>
        <w:tc>
          <w:tcPr>
            <w:tcW w:type="dxa" w:w="1728"/>
          </w:tcPr>
          <w:p>
            <w:r>
              <w:t>229</w:t>
            </w:r>
          </w:p>
        </w:tc>
      </w:tr>
      <w:tr>
        <w:tc>
          <w:tcPr>
            <w:tcW w:type="dxa" w:w="1728"/>
          </w:tcPr>
          <w:p>
            <w:r>
              <w:t>Giới thiệu, đối tác</w:t>
            </w:r>
          </w:p>
        </w:tc>
        <w:tc>
          <w:tcPr>
            <w:tcW w:type="dxa" w:w="1728"/>
          </w:tcPr>
          <w:p>
            <w:r>
              <w:t>830</w:t>
            </w:r>
          </w:p>
        </w:tc>
        <w:tc>
          <w:tcPr>
            <w:tcW w:type="dxa" w:w="1728"/>
          </w:tcPr>
          <w:p>
            <w:r>
              <w:t>275</w:t>
            </w:r>
          </w:p>
        </w:tc>
        <w:tc>
          <w:tcPr>
            <w:tcW w:type="dxa" w:w="1728"/>
          </w:tcPr>
          <w:p>
            <w:r>
              <w:t>163</w:t>
            </w:r>
          </w:p>
        </w:tc>
        <w:tc>
          <w:tcPr>
            <w:tcW w:type="dxa" w:w="1728"/>
          </w:tcPr>
          <w:p>
            <w:r>
              <w:t>120</w:t>
            </w:r>
          </w:p>
        </w:tc>
      </w:tr>
      <w:tr>
        <w:tc>
          <w:tcPr>
            <w:tcW w:type="dxa" w:w="1728"/>
          </w:tcPr>
          <w:p>
            <w:r>
              <w:t>Tổng</w:t>
            </w:r>
          </w:p>
        </w:tc>
        <w:tc>
          <w:tcPr>
            <w:tcW w:type="dxa" w:w="1728"/>
          </w:tcPr>
          <w:p>
            <w:r>
              <w:t>6.420</w:t>
            </w:r>
          </w:p>
        </w:tc>
        <w:tc>
          <w:tcPr>
            <w:tcW w:type="dxa" w:w="1728"/>
          </w:tcPr>
          <w:p>
            <w:r>
              <w:t>2.310</w:t>
            </w:r>
          </w:p>
        </w:tc>
        <w:tc>
          <w:tcPr>
            <w:tcW w:type="dxa" w:w="1728"/>
          </w:tcPr>
          <w:p>
            <w:r>
              <w:t>1.405</w:t>
            </w:r>
          </w:p>
        </w:tc>
        <w:tc>
          <w:tcPr>
            <w:tcW w:type="dxa" w:w="1728"/>
          </w:tcPr>
          <w:p>
            <w:r>
              <w:t>1.087</w:t>
            </w:r>
          </w:p>
        </w:tc>
      </w:tr>
    </w:tbl>
    <w:p>
      <w:r>
        <w:t>Chi tiết kiểm tra: các dòng kênh cộng lại cho 1.980+1.755+640+1.215+830 = 6.420 lượt quan tâm; 702+590+245+498+275 = 2.310 hồ sơ; 431+358+152+301+163 = 1.405 trúng tuyển; 338+283+117+229+120 = 1.087 nhập học.</w:t>
      </w:r>
    </w:p>
    <w:p>
      <w:pPr>
        <w:pStyle w:val="Heading2"/>
      </w:pPr>
      <w:r>
        <w:t>III. Kinh phí (đơn vị: triệu đồng)</w:t>
      </w:r>
    </w:p>
    <w:p>
      <w:r>
        <w:t>Chi truyền thông, quảng bá tuyển sinh: 1.940 triệu đồng (quảng cáo trả phí 1.120; sự kiện, ngày hội 480; sản xuất nội dung 340). Ngân sách phân bổ 2.200 triệu đồng, giải ngân đạt 88,2%.</w:t>
      </w:r>
    </w:p>
    <w:p>
      <w:pPr>
        <w:pStyle w:val="Heading2"/>
      </w:pPr>
      <w:r>
        <w:t>IV. Khó khăn, vướng mắc</w:t>
      </w:r>
    </w:p>
    <w:p>
      <w:r>
        <w:t>Tỷ lệ chuyển đổi từ trúng tuyển sang nhập học của kênh hotline thấp hơn các kênh khác (77,0% so với trung bình 77,4%).</w:t>
      </w:r>
    </w:p>
    <w:p>
      <w:r>
        <w:t>Dữ liệu thí sinh còn phân tán giữa biểu mẫu, bảng tính cá nhân của cán bộ và hộp thư chung, gây trùng lặp khi đối chiếu.</w:t>
      </w:r>
    </w:p>
    <w:p>
      <w:r>
        <w:t>Nguồn nhân lực sản xuất nội dung còn mỏng trong cao điểm tuyển sinh.</w:t>
      </w:r>
    </w:p>
    <w:p>
      <w:pPr>
        <w:pStyle w:val="Heading2"/>
      </w:pPr>
      <w:r>
        <w:t>V. Kiến nghị và kế hoạch</w:t>
      </w:r>
    </w:p>
    <w:p>
      <w:r>
        <w:t>Đề nghị thống nhất nguồn số liệu nhập học chính thức giữa Phòng Đào tạo và Phòng Truyền thông và Tuyển sinh.</w:t>
      </w:r>
    </w:p>
    <w:p>
      <w:r>
        <w:t>Kế hoạch: khởi động chiến dịch tuyển sinh 2026 từ 15/03/2026; tổ chức 02 ngày hội trong tháng 05.</w:t>
      </w:r>
    </w:p>
    <w:p>
      <w:r>
        <w:t>Công tác tuyển sinh năm 2025 được triển khai theo kế hoạch đã được Ban Giám hiệu phê duyệt, bám sát lịch chung và đề án tuyển sinh đã công bố. Các đợt xét tuyển được tổ chức đúng thời hạn, không phát sinh khiếu nại về quy trình.</w:t>
      </w:r>
    </w:p>
    <w:p>
      <w:r>
        <w:t>Đơn vị đã chủ động phối hợp với các phòng, khoa liên quan để giải quyết các phát sinh trong kỳ báo cáo, đồng thời ghi nhận ý kiến của người học và giảng viên để điều chỉnh kịp thời.</w:t>
      </w:r>
    </w:p>
    <w:p>
      <w:r>
        <w:t>Việc lưu trữ hồ sơ, minh chứng được thực hiện theo quy định; các văn bản, biên bản liên quan đã được cập nhật lên hệ thống quản lý văn bản của Trường.</w:t>
      </w:r>
    </w:p>
    <w:p>
      <w:r>
        <w:t>Đơn vị phối hợp với các khoa rà soát điều kiện xét tuyển theo từng phương thức, đối chiếu dữ liệu thí sinh với hệ thống chung của Bộ trước mỗi đợt công bố kết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