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DỮ LIỆU GIẢ LẬP PHỤC VỤ THỬ NGHIỆP – KHÔNG PHẢI SỐ LIỆU THẬT CỦA TRƯỜNG QUỐC TẾ – ĐHQGHN</w:t>
      </w:r>
    </w:p>
    <w:p>
      <w:r>
        <w:t>TRƯỜNG QUỐC TẾ – ĐHQGHN</w:t>
        <w:br/>
        <w:t>KHOA KINH TẾ VÀ QUẢN LÝ</w:t>
      </w:r>
    </w:p>
    <w:p>
      <w:pPr>
        <w:pStyle w:val="Heading1"/>
      </w:pPr>
      <w:r>
        <w:t>BÁO CÁO CÔNG TÁC 6 THÁNG ĐẦU NĂM HỌC 2025–2026</w:t>
      </w:r>
    </w:p>
    <w:p>
      <w:r>
        <w:t>Kỳ báo cáo: 01/09/2025 – 28/02/2026. Ngày lập: 07/03/2026.</w:t>
      </w:r>
    </w:p>
    <w:p>
      <w:pPr>
        <w:pStyle w:val="Heading2"/>
      </w:pPr>
      <w:r>
        <w:t>I. Kết quả thực hiện nhiệm vụ</w:t>
      </w:r>
    </w:p>
    <w:p>
      <w:r>
        <w:t>Các lớp học phần có sĩ số thấp được rà soát để gộp lớp hoặc tổ chức học ghép, bảo đảm hiệu quả sử dụng giảng đường và giảng viên.</w:t>
      </w:r>
    </w:p>
    <w:p>
      <w:r>
        <w:t>Kế hoạch giảng dạy học kỳ 1 được thực hiện theo thời khóa biểu đã ban hành; việc điều chỉnh lịch dạy được thông báo trước ít nhất 03 ngày làm việc. Công tác coi thi, chấm thi tuân thủ quy chế hiện hành.</w:t>
      </w:r>
    </w:p>
    <w:p>
      <w:r>
        <w:t>Việc lưu trữ hồ sơ, minh chứng được thực hiện theo quy định; các văn bản, biên bản liên quan đã được cập nhật lên hệ thống quản lý văn bản của Trường.</w:t>
      </w:r>
    </w:p>
    <w:p>
      <w:r>
        <w:t>Đơn vị đã chủ động phối hợp với các phòng, khoa liên quan để giải quyết các phát sinh trong kỳ báo cáo, đồng thời ghi nhận ý kiến của người học và giảng viên để điều chỉnh kịp thời.</w:t>
      </w:r>
    </w:p>
    <w:p>
      <w:r>
        <w:t>Khoa hiện quản lý 812 sinh viên đang học (cập nhật 28/02/2026), 46 giảng viên cơ hữu, trong đó 19 tiến sĩ. Tỷ lệ tốt nghiệp đúng hạn của các lớp thuộc diện xét trong kỳ đạt 93,2% (206/221).</w:t>
      </w:r>
    </w:p>
    <w:p>
      <w:pPr>
        <w:pStyle w:val="Heading2"/>
      </w:pPr>
      <w:r>
        <w:t>II. Số liệu theo chỉ tiêu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Chỉ tiêu</w:t>
            </w:r>
          </w:p>
        </w:tc>
        <w:tc>
          <w:tcPr>
            <w:tcW w:type="dxa" w:w="4320"/>
          </w:tcPr>
          <w:p>
            <w:r>
              <w:t>Số liệu</w:t>
            </w:r>
          </w:p>
        </w:tc>
      </w:tr>
      <w:tr>
        <w:tc>
          <w:tcPr>
            <w:tcW w:type="dxa" w:w="4320"/>
          </w:tcPr>
          <w:p>
            <w:r>
              <w:t>Sinh viên đang học</w:t>
            </w:r>
          </w:p>
        </w:tc>
        <w:tc>
          <w:tcPr>
            <w:tcW w:type="dxa" w:w="4320"/>
          </w:tcPr>
          <w:p>
            <w:r>
              <w:t>812</w:t>
            </w:r>
          </w:p>
        </w:tc>
      </w:tr>
      <w:tr>
        <w:tc>
          <w:tcPr>
            <w:tcW w:type="dxa" w:w="4320"/>
          </w:tcPr>
          <w:p>
            <w:r>
              <w:t>Tốt nghiệp đúng hạn</w:t>
            </w:r>
          </w:p>
        </w:tc>
        <w:tc>
          <w:tcPr>
            <w:tcW w:type="dxa" w:w="4320"/>
          </w:tcPr>
          <w:p>
            <w:r>
              <w:t>93,2% (206/221)</w:t>
            </w:r>
          </w:p>
        </w:tc>
      </w:tr>
      <w:tr>
        <w:tc>
          <w:tcPr>
            <w:tcW w:type="dxa" w:w="4320"/>
          </w:tcPr>
          <w:p>
            <w:r>
              <w:t>Bài báo quốc tế</w:t>
            </w:r>
          </w:p>
        </w:tc>
        <w:tc>
          <w:tcPr>
            <w:tcW w:type="dxa" w:w="4320"/>
          </w:tcPr>
          <w:p>
            <w:r>
              <w:t>14 bài, trong đó 6 bài đồng tác giả với Viện ĐMST&amp;CGCN</w:t>
            </w:r>
          </w:p>
        </w:tc>
      </w:tr>
      <w:tr>
        <w:tc>
          <w:tcPr>
            <w:tcW w:type="dxa" w:w="4320"/>
          </w:tcPr>
          <w:p>
            <w:r>
              <w:t>Đề tài cấp cơ sở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r>
        <w:t>Danh sách bài báo quốc tế của Khoa trong kỳ: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STT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Tên bài báo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Ứng dụng học máy trong dự báo nhu cầu nhân lực ngành tài chính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Tác động của chính sách tín dụng xanh tới doanh nghiệp vừa và nhỏ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Khung năng lực số cho sinh viên khối ngành kinh tế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Vai trò của tiếng Anh học thuật trong công bố quốc tế của giảng viên trẻ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Ứng dụng blockchain trong xác thực văn bằng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Ứng dụng học máy trong dự báo nhu cầu nhân lực ngành tài chính (nghiên cứu mở rộng 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Tác động của chính sách tín dụng xanh tới doanh nghiệp vừa và nhỏ (nghiên cứu mở rộng 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Khung năng lực số cho sinh viên khối ngành kinh tế (nghiên cứu mở rộng 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Vai trò của tiếng Anh học thuật trong công bố quốc tế của giảng viên trẻ (nghiên cứu mở rộng 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Ứng dụng blockchain trong xác thực văn bằng (nghiên cứu mở rộng 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Ứng dụng học máy trong dự báo nhu cầu nhân lực ngành tài chính (nghiên cứu mở rộng 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Tác động của chính sách tín dụng xanh tới doanh nghiệp vừa và nhỏ (nghiên cứu mở rộng 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Khung năng lực số cho sinh viên khối ngành kinh tế (nghiên cứu mở rộng 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Vai trò của tiếng Anh học thuật trong công bố quốc tế của giảng viên trẻ (nghiên cứu mở rộng 3)</w:t>
            </w:r>
          </w:p>
        </w:tc>
      </w:tr>
    </w:tbl>
    <w:p>
      <w:pPr>
        <w:pStyle w:val="Heading2"/>
      </w:pPr>
      <w:r>
        <w:t>III. Khó khăn, vướng mắc</w:t>
      </w:r>
    </w:p>
    <w:p>
      <w:r>
        <w:t>Khối lượng giảng dạy của giảng viên cơ hữu còn cao, ảnh hưởng thời gian dành cho nghiên cứu.</w:t>
      </w:r>
    </w:p>
    <w:p>
      <w:r>
        <w:t>Hệ thống phản hồi của sinh viên về giảng viên chưa có công cụ tổng hợp tự động.</w:t>
      </w:r>
    </w:p>
    <w:p>
      <w:r>
        <w:t>Việc mời giảng viên thỉnh giảng quốc tế cần có hướng dẫn thủ tục rõ ràng, thống nhất giữa các phòng.</w:t>
      </w:r>
    </w:p>
    <w:p>
      <w:pPr>
        <w:pStyle w:val="Heading2"/>
      </w:pPr>
      <w:r>
        <w:t>IV. Kiến nghị</w:t>
      </w:r>
    </w:p>
    <w:p>
      <w:r>
        <w:t>Đề nghị Phòng Tổ chức và Quản trị hướng dẫn thủ tục mời giảng viên quốc tế.</w:t>
      </w:r>
    </w:p>
    <w:p>
      <w:r>
        <w:t>Đề nghị bổ sung chỉ tiêu biên chế giảng viên cơ hữu cho các ngành mới mở.</w:t>
      </w:r>
    </w:p>
    <w:p>
      <w:r>
        <w:t>Kế hoạch giảng dạy học kỳ 1 được thực hiện theo thời khóa biểu đã ban hành; việc điều chỉnh lịch dạy được thông báo trước ít nhất 03 ngày làm việc. Công tác coi thi, chấm thi tuân thủ quy chế hiện hành.</w:t>
      </w:r>
    </w:p>
    <w:p>
      <w:r>
        <w:t>Việc lưu trữ hồ sơ, minh chứng được thực hiện theo quy định; các văn bản, biên bản liên quan đã được cập nhật lên hệ thống quản lý văn bản của Trường.</w:t>
      </w:r>
    </w:p>
    <w:p>
      <w:r>
        <w:t>Đơn vị đã chủ động phối hợp với các phòng, khoa liên quan để giải quyết các phát sinh trong kỳ báo cáo, đồng thời ghi nhận ý kiến của người học và giảng viên để điều chỉnh kịp thời.</w:t>
      </w:r>
    </w:p>
    <w:p>
      <w:r>
        <w:t>Các lớp học phần có sĩ số thấp được rà soát để gộp lớp hoặc tổ chức học ghép, bảo đảm hiệu quả sử dụng giảng đường và giảng viên.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