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Báo cáo phân tích khảo sát mức độ hài lòng của sinh viên – học kỳ 1 năm học 2025–2026 (bản nháp)</w:t>
      </w:r>
    </w:p>
    <w:p>
      <w:r>
        <w:rPr>
          <w:b w:val="0"/>
        </w:rPr>
        <w:t>*Dữ liệu giả lập phục vụ thử nghiệm – không phải số liệu thật của Trường. Số liệu trung bình, tỷ lệ do công cụ tính sẵn; phần nhận xét do AI soạn từ các số đó.*</w:t>
      </w:r>
    </w:p>
    <w:p>
      <w:pPr>
        <w:pStyle w:val="Heading2"/>
      </w:pPr>
      <w:r>
        <w:t>1. Dữ liệu và làm sạch</w:t>
      </w:r>
    </w:p>
    <w:tbl>
      <w:tblPr>
        <w:tblStyle w:val="TableGrid"/>
        <w:tblW w:type="auto" w:w="0"/>
        <w:tblLook w:firstColumn="1" w:firstRow="1" w:lastColumn="0" w:lastRow="0" w:noHBand="0" w:noVBand="1" w:val="04A0"/>
      </w:tblPr>
      <w:tblGrid>
        <w:gridCol w:w="4320"/>
        <w:gridCol w:w="4320"/>
      </w:tblGrid>
      <w:tr>
        <w:tc>
          <w:tcPr>
            <w:tcW w:type="dxa" w:w="4320"/>
          </w:tcPr>
          <w:p>
            <w:r>
              <w:rPr>
                <w:b/>
              </w:rPr>
              <w:t>Bước</w:t>
            </w:r>
          </w:p>
        </w:tc>
        <w:tc>
          <w:tcPr>
            <w:tcW w:type="dxa" w:w="4320"/>
          </w:tcPr>
          <w:p>
            <w:r>
              <w:rPr>
                <w:b/>
              </w:rPr>
              <w:t>Số phiếu</w:t>
            </w:r>
          </w:p>
        </w:tc>
      </w:tr>
      <w:tr>
        <w:tc>
          <w:tcPr>
            <w:tcW w:type="dxa" w:w="4320"/>
          </w:tcPr>
          <w:p>
            <w:r>
              <w:t>Dòng thô xuất từ biểu mẫu</w:t>
            </w:r>
          </w:p>
        </w:tc>
        <w:tc>
          <w:tcPr>
            <w:tcW w:type="dxa" w:w="4320"/>
          </w:tcPr>
          <w:p>
            <w:r>
              <w:t>414</w:t>
            </w:r>
          </w:p>
        </w:tc>
      </w:tr>
      <w:tr>
        <w:tc>
          <w:tcPr>
            <w:tcW w:type="dxa" w:w="4320"/>
          </w:tcPr>
          <w:p>
            <w:r>
              <w:t>Sau bỏ trùng mã khảo sát (14 mã trùng, giữ dòng đầu)</w:t>
            </w:r>
          </w:p>
        </w:tc>
        <w:tc>
          <w:tcPr>
            <w:tcW w:type="dxa" w:w="4320"/>
          </w:tcPr>
          <w:p>
            <w:r>
              <w:t>400</w:t>
            </w:r>
          </w:p>
        </w:tc>
      </w:tr>
      <w:tr>
        <w:tc>
          <w:tcPr>
            <w:tcW w:type="dxa" w:w="4320"/>
          </w:tcPr>
          <w:p>
            <w:r>
              <w:t>Loại vì có giá trị ngoài thang 1–5 (0, 6, 7, 9)</w:t>
            </w:r>
          </w:p>
        </w:tc>
        <w:tc>
          <w:tcPr>
            <w:tcW w:type="dxa" w:w="4320"/>
          </w:tcPr>
          <w:p>
            <w:r>
              <w:t>10</w:t>
            </w:r>
          </w:p>
        </w:tc>
      </w:tr>
      <w:tr>
        <w:tc>
          <w:tcPr>
            <w:tcW w:type="dxa" w:w="4320"/>
          </w:tcPr>
          <w:p>
            <w:r>
              <w:t>Loại vì bỏ trống quá 30% số câu</w:t>
            </w:r>
          </w:p>
        </w:tc>
        <w:tc>
          <w:tcPr>
            <w:tcW w:type="dxa" w:w="4320"/>
          </w:tcPr>
          <w:p>
            <w:r>
              <w:t>8</w:t>
            </w:r>
          </w:p>
        </w:tc>
      </w:tr>
      <w:tr>
        <w:tc>
          <w:tcPr>
            <w:tcW w:type="dxa" w:w="4320"/>
          </w:tcPr>
          <w:p>
            <w:r>
              <w:t>Loại vì chọn cùng một mức cho cả 10 câu (kể cả câu đảo Q7)</w:t>
            </w:r>
          </w:p>
        </w:tc>
        <w:tc>
          <w:tcPr>
            <w:tcW w:type="dxa" w:w="4320"/>
          </w:tcPr>
          <w:p>
            <w:r>
              <w:t>22</w:t>
            </w:r>
          </w:p>
        </w:tc>
      </w:tr>
      <w:tr>
        <w:tc>
          <w:tcPr>
            <w:tcW w:type="dxa" w:w="4320"/>
          </w:tcPr>
          <w:p>
            <w:r>
              <w:t>**Phiếu hợp lệ dùng để phân tích**</w:t>
            </w:r>
          </w:p>
        </w:tc>
        <w:tc>
          <w:tcPr>
            <w:tcW w:type="dxa" w:w="4320"/>
          </w:tcPr>
          <w:p>
            <w:r>
              <w:t>**360**</w:t>
            </w:r>
          </w:p>
        </w:tc>
      </w:tr>
    </w:tbl>
    <w:p>
      <w:pPr>
        <w:pStyle w:val="ListBullet"/>
      </w:pPr>
      <w:r>
        <w:rPr>
          <w:b/>
        </w:rPr>
        <w:t>Tỷ lệ phản hồi: chưa tính được.</w:t>
      </w:r>
      <w:r>
        <w:rPr>
          <w:b w:val="0"/>
        </w:rPr>
        <w:t xml:space="preserve"> Dữ liệu không cho biết số phiếu phát ra hoặc số sinh viên trong diện khảo sát, nên không kiểm tra được yêu cầu ≥ 60%. Cần đơn vị cung cấp số này trước khi công bố kết luận.</w:t>
      </w:r>
    </w:p>
    <w:p>
      <w:pPr>
        <w:pStyle w:val="ListBullet"/>
      </w:pPr>
      <w:r>
        <w:rPr>
          <w:b w:val="0"/>
        </w:rPr>
        <w:t xml:space="preserve">Phiếu "chọn một mức cho mọi câu" bị loại vì không thể đồng thời rất hài lòng (Q1–Q6, Q8–Q10) và rất khó khăn khi đăng ký học phần (Q7 đảo chiều). Nếu </w:t>
      </w:r>
      <w:r>
        <w:rPr>
          <w:b/>
        </w:rPr>
        <w:t>không</w:t>
      </w:r>
      <w:r>
        <w:rPr>
          <w:b w:val="0"/>
        </w:rPr>
        <w:t xml:space="preserve"> loại nhóm này, điểm Q10 là 3,86 thay vì 3,79, tức quy tắc loại phiếu làm đổi kết quả khoảng 0,07 điểm – cần ghi trong phần hạn chế.</w:t>
      </w:r>
    </w:p>
    <w:p>
      <w:pPr>
        <w:pStyle w:val="ListBullet"/>
      </w:pPr>
      <w:r>
        <w:rPr>
          <w:b w:val="0"/>
        </w:rPr>
        <w:t>Các mã trùng: 14, trong đó có mã vừa trùng vừa ngoài thang hoặc bỏ trống; mỗi phiếu chỉ được tính loại một lần theo thứ tự trùng → ngoài thang → bỏ trống → một mức.</w:t>
      </w:r>
    </w:p>
    <w:p>
      <w:pPr>
        <w:pStyle w:val="ListBullet"/>
      </w:pPr>
      <w:r>
        <w:rPr>
          <w:b w:val="0"/>
        </w:rPr>
        <w:t>Câu Q7 là câu đảo chiều, đã mã hóa ngược (6 − điểm) trước khi tính điểm dùng để đánh giá.</w:t>
      </w:r>
    </w:p>
    <w:p>
      <w:pPr>
        <w:pStyle w:val="Heading2"/>
      </w:pPr>
      <w:r>
        <w:t>2. Kết quả theo từng câu (n = 360)</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Câu</w:t>
            </w:r>
          </w:p>
        </w:tc>
        <w:tc>
          <w:tcPr>
            <w:tcW w:type="dxa" w:w="1440"/>
          </w:tcPr>
          <w:p>
            <w:r>
              <w:rPr>
                <w:b/>
              </w:rPr>
              <w:t>Nội dung rút gọn</w:t>
            </w:r>
          </w:p>
        </w:tc>
        <w:tc>
          <w:tcPr>
            <w:tcW w:type="dxa" w:w="1440"/>
          </w:tcPr>
          <w:p>
            <w:r>
              <w:rPr>
                <w:b/>
              </w:rPr>
              <w:t>TB</w:t>
            </w:r>
          </w:p>
        </w:tc>
        <w:tc>
          <w:tcPr>
            <w:tcW w:type="dxa" w:w="1440"/>
          </w:tcPr>
          <w:p>
            <w:r>
              <w:rPr>
                <w:b/>
              </w:rPr>
              <w:t>Xếp loại theo quy ước</w:t>
            </w:r>
          </w:p>
        </w:tc>
        <w:tc>
          <w:tcPr>
            <w:tcW w:type="dxa" w:w="1440"/>
          </w:tcPr>
          <w:p>
            <w:r>
              <w:rPr>
                <w:b/>
              </w:rPr>
              <w:t>Kỳ trước</w:t>
            </w:r>
          </w:p>
        </w:tc>
        <w:tc>
          <w:tcPr>
            <w:tcW w:type="dxa" w:w="1440"/>
          </w:tcPr>
          <w:p>
            <w:r>
              <w:rPr>
                <w:b/>
              </w:rPr>
              <w:t>Chênh</w:t>
            </w:r>
          </w:p>
        </w:tc>
      </w:tr>
      <w:tr>
        <w:tc>
          <w:tcPr>
            <w:tcW w:type="dxa" w:w="1440"/>
          </w:tcPr>
          <w:p>
            <w:r>
              <w:t>Q1</w:t>
            </w:r>
          </w:p>
        </w:tc>
        <w:tc>
          <w:tcPr>
            <w:tcW w:type="dxa" w:w="1440"/>
          </w:tcPr>
          <w:p>
            <w:r>
              <w:t>Nội dung chương trình đáp ứng mục tiêu</w:t>
            </w:r>
          </w:p>
        </w:tc>
        <w:tc>
          <w:tcPr>
            <w:tcW w:type="dxa" w:w="1440"/>
          </w:tcPr>
          <w:p>
            <w:r>
              <w:t>3,88</w:t>
            </w:r>
          </w:p>
        </w:tc>
        <w:tc>
          <w:tcPr>
            <w:tcW w:type="dxa" w:w="1440"/>
          </w:tcPr>
          <w:p>
            <w:r>
              <w:t>Trung bình</w:t>
            </w:r>
          </w:p>
        </w:tc>
        <w:tc>
          <w:tcPr>
            <w:tcW w:type="dxa" w:w="1440"/>
          </w:tcPr>
          <w:p>
            <w:r>
              <w:t>3,85</w:t>
            </w:r>
          </w:p>
        </w:tc>
        <w:tc>
          <w:tcPr>
            <w:tcW w:type="dxa" w:w="1440"/>
          </w:tcPr>
          <w:p>
            <w:r>
              <w:t>+0,03</w:t>
            </w:r>
          </w:p>
        </w:tc>
      </w:tr>
      <w:tr>
        <w:tc>
          <w:tcPr>
            <w:tcW w:type="dxa" w:w="1440"/>
          </w:tcPr>
          <w:p>
            <w:r>
              <w:t>Q2</w:t>
            </w:r>
          </w:p>
        </w:tc>
        <w:tc>
          <w:tcPr>
            <w:tcW w:type="dxa" w:w="1440"/>
          </w:tcPr>
          <w:p>
            <w:r>
              <w:t>Giảng viên giảng dạy rõ ràng</w:t>
            </w:r>
          </w:p>
        </w:tc>
        <w:tc>
          <w:tcPr>
            <w:tcW w:type="dxa" w:w="1440"/>
          </w:tcPr>
          <w:p>
            <w:r>
              <w:t>4,07</w:t>
            </w:r>
          </w:p>
        </w:tc>
        <w:tc>
          <w:tcPr>
            <w:tcW w:type="dxa" w:w="1440"/>
          </w:tcPr>
          <w:p>
            <w:r>
              <w:t>Tốt</w:t>
            </w:r>
          </w:p>
        </w:tc>
        <w:tc>
          <w:tcPr>
            <w:tcW w:type="dxa" w:w="1440"/>
          </w:tcPr>
          <w:p>
            <w:r>
              <w:t>4,05</w:t>
            </w:r>
          </w:p>
        </w:tc>
        <w:tc>
          <w:tcPr>
            <w:tcW w:type="dxa" w:w="1440"/>
          </w:tcPr>
          <w:p>
            <w:r>
              <w:t>+0,02</w:t>
            </w:r>
          </w:p>
        </w:tc>
      </w:tr>
      <w:tr>
        <w:tc>
          <w:tcPr>
            <w:tcW w:type="dxa" w:w="1440"/>
          </w:tcPr>
          <w:p>
            <w:r>
              <w:t>Q3</w:t>
            </w:r>
          </w:p>
        </w:tc>
        <w:tc>
          <w:tcPr>
            <w:tcW w:type="dxa" w:w="1440"/>
          </w:tcPr>
          <w:p>
            <w:r>
              <w:t>Giảng viên hỗ trợ ngoài giờ</w:t>
            </w:r>
          </w:p>
        </w:tc>
        <w:tc>
          <w:tcPr>
            <w:tcW w:type="dxa" w:w="1440"/>
          </w:tcPr>
          <w:p>
            <w:r>
              <w:t>3,79</w:t>
            </w:r>
          </w:p>
        </w:tc>
        <w:tc>
          <w:tcPr>
            <w:tcW w:type="dxa" w:w="1440"/>
          </w:tcPr>
          <w:p>
            <w:r>
              <w:t>Trung bình</w:t>
            </w:r>
          </w:p>
        </w:tc>
        <w:tc>
          <w:tcPr>
            <w:tcW w:type="dxa" w:w="1440"/>
          </w:tcPr>
          <w:p>
            <w:r>
              <w:t>3,75</w:t>
            </w:r>
          </w:p>
        </w:tc>
        <w:tc>
          <w:tcPr>
            <w:tcW w:type="dxa" w:w="1440"/>
          </w:tcPr>
          <w:p>
            <w:r>
              <w:t>+0,04</w:t>
            </w:r>
          </w:p>
        </w:tc>
      </w:tr>
      <w:tr>
        <w:tc>
          <w:tcPr>
            <w:tcW w:type="dxa" w:w="1440"/>
          </w:tcPr>
          <w:p>
            <w:r>
              <w:t>Q4</w:t>
            </w:r>
          </w:p>
        </w:tc>
        <w:tc>
          <w:tcPr>
            <w:tcW w:type="dxa" w:w="1440"/>
          </w:tcPr>
          <w:p>
            <w:r>
              <w:t>Phòng học, trang thiết bị</w:t>
            </w:r>
          </w:p>
        </w:tc>
        <w:tc>
          <w:tcPr>
            <w:tcW w:type="dxa" w:w="1440"/>
          </w:tcPr>
          <w:p>
            <w:r>
              <w:t>3,47</w:t>
            </w:r>
          </w:p>
        </w:tc>
        <w:tc>
          <w:tcPr>
            <w:tcW w:type="dxa" w:w="1440"/>
          </w:tcPr>
          <w:p>
            <w:r>
              <w:t>Trung bình</w:t>
            </w:r>
          </w:p>
        </w:tc>
        <w:tc>
          <w:tcPr>
            <w:tcW w:type="dxa" w:w="1440"/>
          </w:tcPr>
          <w:p>
            <w:r>
              <w:t>3,55</w:t>
            </w:r>
          </w:p>
        </w:tc>
        <w:tc>
          <w:tcPr>
            <w:tcW w:type="dxa" w:w="1440"/>
          </w:tcPr>
          <w:p>
            <w:r>
              <w:t>−0,08</w:t>
            </w:r>
          </w:p>
        </w:tc>
      </w:tr>
      <w:tr>
        <w:tc>
          <w:tcPr>
            <w:tcW w:type="dxa" w:w="1440"/>
          </w:tcPr>
          <w:p>
            <w:r>
              <w:t>Q5</w:t>
            </w:r>
          </w:p>
        </w:tc>
        <w:tc>
          <w:tcPr>
            <w:tcW w:type="dxa" w:w="1440"/>
          </w:tcPr>
          <w:p>
            <w:r>
              <w:t>Thư viện, học liệu số</w:t>
            </w:r>
          </w:p>
        </w:tc>
        <w:tc>
          <w:tcPr>
            <w:tcW w:type="dxa" w:w="1440"/>
          </w:tcPr>
          <w:p>
            <w:r>
              <w:t>3,67</w:t>
            </w:r>
          </w:p>
        </w:tc>
        <w:tc>
          <w:tcPr>
            <w:tcW w:type="dxa" w:w="1440"/>
          </w:tcPr>
          <w:p>
            <w:r>
              <w:t>Trung bình</w:t>
            </w:r>
          </w:p>
        </w:tc>
        <w:tc>
          <w:tcPr>
            <w:tcW w:type="dxa" w:w="1440"/>
          </w:tcPr>
          <w:p>
            <w:r>
              <w:t>3,60</w:t>
            </w:r>
          </w:p>
        </w:tc>
        <w:tc>
          <w:tcPr>
            <w:tcW w:type="dxa" w:w="1440"/>
          </w:tcPr>
          <w:p>
            <w:r>
              <w:t>+0,07</w:t>
            </w:r>
          </w:p>
        </w:tc>
      </w:tr>
      <w:tr>
        <w:tc>
          <w:tcPr>
            <w:tcW w:type="dxa" w:w="1440"/>
          </w:tcPr>
          <w:p>
            <w:r>
              <w:t>Q6</w:t>
            </w:r>
          </w:p>
        </w:tc>
        <w:tc>
          <w:tcPr>
            <w:tcW w:type="dxa" w:w="1440"/>
          </w:tcPr>
          <w:p>
            <w:r>
              <w:t>Wifi, hệ thống học trực tuyến</w:t>
            </w:r>
          </w:p>
        </w:tc>
        <w:tc>
          <w:tcPr>
            <w:tcW w:type="dxa" w:w="1440"/>
          </w:tcPr>
          <w:p>
            <w:r>
              <w:t>3,24</w:t>
            </w:r>
          </w:p>
        </w:tc>
        <w:tc>
          <w:tcPr>
            <w:tcW w:type="dxa" w:w="1440"/>
          </w:tcPr>
          <w:p>
            <w:r>
              <w:t>Trung bình (thấp)</w:t>
            </w:r>
          </w:p>
        </w:tc>
        <w:tc>
          <w:tcPr>
            <w:tcW w:type="dxa" w:w="1440"/>
          </w:tcPr>
          <w:p>
            <w:r>
              <w:t>3,40</w:t>
            </w:r>
          </w:p>
        </w:tc>
        <w:tc>
          <w:tcPr>
            <w:tcW w:type="dxa" w:w="1440"/>
          </w:tcPr>
          <w:p>
            <w:r>
              <w:t>−0,16</w:t>
            </w:r>
          </w:p>
        </w:tc>
      </w:tr>
      <w:tr>
        <w:tc>
          <w:tcPr>
            <w:tcW w:type="dxa" w:w="1440"/>
          </w:tcPr>
          <w:p>
            <w:r>
              <w:t>Q7</w:t>
            </w:r>
          </w:p>
        </w:tc>
        <w:tc>
          <w:tcPr>
            <w:tcW w:type="dxa" w:w="1440"/>
          </w:tcPr>
          <w:p>
            <w:r>
              <w:t>Khó khăn khi đăng ký học phần (đảo; điểm đã mã hóa ngược)</w:t>
            </w:r>
          </w:p>
        </w:tc>
        <w:tc>
          <w:tcPr>
            <w:tcW w:type="dxa" w:w="1440"/>
          </w:tcPr>
          <w:p>
            <w:r>
              <w:t>3,48 (gốc 2,52)</w:t>
            </w:r>
          </w:p>
        </w:tc>
        <w:tc>
          <w:tcPr>
            <w:tcW w:type="dxa" w:w="1440"/>
          </w:tcPr>
          <w:p>
            <w:r>
              <w:t>Trung bình</w:t>
            </w:r>
          </w:p>
        </w:tc>
        <w:tc>
          <w:tcPr>
            <w:tcW w:type="dxa" w:w="1440"/>
          </w:tcPr>
          <w:p>
            <w:r>
              <w:t>gốc 2,70</w:t>
            </w:r>
          </w:p>
        </w:tc>
        <w:tc>
          <w:tcPr>
            <w:tcW w:type="dxa" w:w="1440"/>
          </w:tcPr>
          <w:p>
            <w:r>
              <w:t>−0,18 điểm gốc (khó khăn giảm, tức tốt hơn)</w:t>
            </w:r>
          </w:p>
        </w:tc>
      </w:tr>
      <w:tr>
        <w:tc>
          <w:tcPr>
            <w:tcW w:type="dxa" w:w="1440"/>
          </w:tcPr>
          <w:p>
            <w:r>
              <w:t>Q8</w:t>
            </w:r>
          </w:p>
        </w:tc>
        <w:tc>
          <w:tcPr>
            <w:tcW w:type="dxa" w:w="1440"/>
          </w:tcPr>
          <w:p>
            <w:r>
              <w:t>Cán bộ phòng ban hỗ trợ kịp thời</w:t>
            </w:r>
          </w:p>
        </w:tc>
        <w:tc>
          <w:tcPr>
            <w:tcW w:type="dxa" w:w="1440"/>
          </w:tcPr>
          <w:p>
            <w:r>
              <w:t>3,82</w:t>
            </w:r>
          </w:p>
        </w:tc>
        <w:tc>
          <w:tcPr>
            <w:tcW w:type="dxa" w:w="1440"/>
          </w:tcPr>
          <w:p>
            <w:r>
              <w:t>Trung bình</w:t>
            </w:r>
          </w:p>
        </w:tc>
        <w:tc>
          <w:tcPr>
            <w:tcW w:type="dxa" w:w="1440"/>
          </w:tcPr>
          <w:p>
            <w:r>
              <w:t>3,70</w:t>
            </w:r>
          </w:p>
        </w:tc>
        <w:tc>
          <w:tcPr>
            <w:tcW w:type="dxa" w:w="1440"/>
          </w:tcPr>
          <w:p>
            <w:r>
              <w:t>+0,12</w:t>
            </w:r>
          </w:p>
        </w:tc>
      </w:tr>
      <w:tr>
        <w:tc>
          <w:tcPr>
            <w:tcW w:type="dxa" w:w="1440"/>
          </w:tcPr>
          <w:p>
            <w:r>
              <w:t>Q9</w:t>
            </w:r>
          </w:p>
        </w:tc>
        <w:tc>
          <w:tcPr>
            <w:tcW w:type="dxa" w:w="1440"/>
          </w:tcPr>
          <w:p>
            <w:r>
              <w:t>Học phí tương xứng chất lượng</w:t>
            </w:r>
          </w:p>
        </w:tc>
        <w:tc>
          <w:tcPr>
            <w:tcW w:type="dxa" w:w="1440"/>
          </w:tcPr>
          <w:p>
            <w:r>
              <w:t>3,24</w:t>
            </w:r>
          </w:p>
        </w:tc>
        <w:tc>
          <w:tcPr>
            <w:tcW w:type="dxa" w:w="1440"/>
          </w:tcPr>
          <w:p>
            <w:r>
              <w:t>Trung bình (thấp)</w:t>
            </w:r>
          </w:p>
        </w:tc>
        <w:tc>
          <w:tcPr>
            <w:tcW w:type="dxa" w:w="1440"/>
          </w:tcPr>
          <w:p>
            <w:r>
              <w:t>3,35</w:t>
            </w:r>
          </w:p>
        </w:tc>
        <w:tc>
          <w:tcPr>
            <w:tcW w:type="dxa" w:w="1440"/>
          </w:tcPr>
          <w:p>
            <w:r>
              <w:t>−0,11</w:t>
            </w:r>
          </w:p>
        </w:tc>
      </w:tr>
      <w:tr>
        <w:tc>
          <w:tcPr>
            <w:tcW w:type="dxa" w:w="1440"/>
          </w:tcPr>
          <w:p>
            <w:r>
              <w:t>Q10</w:t>
            </w:r>
          </w:p>
        </w:tc>
        <w:tc>
          <w:tcPr>
            <w:tcW w:type="dxa" w:w="1440"/>
          </w:tcPr>
          <w:p>
            <w:r>
              <w:t>Hài lòng chung</w:t>
            </w:r>
          </w:p>
        </w:tc>
        <w:tc>
          <w:tcPr>
            <w:tcW w:type="dxa" w:w="1440"/>
          </w:tcPr>
          <w:p>
            <w:r>
              <w:t>3,79</w:t>
            </w:r>
          </w:p>
        </w:tc>
        <w:tc>
          <w:tcPr>
            <w:tcW w:type="dxa" w:w="1440"/>
          </w:tcPr>
          <w:p>
            <w:r>
              <w:t>Trung bình</w:t>
            </w:r>
          </w:p>
        </w:tc>
        <w:tc>
          <w:tcPr>
            <w:tcW w:type="dxa" w:w="1440"/>
          </w:tcPr>
          <w:p>
            <w:r>
              <w:t>3,80</w:t>
            </w:r>
          </w:p>
        </w:tc>
        <w:tc>
          <w:tcPr>
            <w:tcW w:type="dxa" w:w="1440"/>
          </w:tcPr>
          <w:p>
            <w:r>
              <w:t>−0,01</w:t>
            </w:r>
          </w:p>
        </w:tc>
      </w:tr>
    </w:tbl>
    <w:p>
      <w:r>
        <w:rPr>
          <w:b w:val="0"/>
        </w:rPr>
        <w:t xml:space="preserve">Quy ước xếp loại: ≥ 4,0 là tốt; 3,0–3,99 là trung bình; &lt; 3,0 là cần cải thiện. </w:t>
      </w:r>
      <w:r>
        <w:rPr>
          <w:b/>
        </w:rPr>
        <w:t>Không câu nào dưới 3,0</w:t>
      </w:r>
      <w:r>
        <w:rPr>
          <w:b w:val="0"/>
        </w:rPr>
        <w:t xml:space="preserve"> sau khi mã hóa ngược Q7.</w:t>
      </w:r>
    </w:p>
    <w:p>
      <w:r>
        <w:rPr>
          <w:b/>
        </w:rPr>
        <w:t>Điểm cần chú ý</w:t>
      </w:r>
    </w:p>
    <w:p>
      <w:pPr>
        <w:pStyle w:val="ListBullet"/>
      </w:pPr>
      <w:r>
        <w:rPr>
          <w:b w:val="0"/>
        </w:rPr>
        <w:t xml:space="preserve">Thấp nhất: </w:t>
      </w:r>
      <w:r>
        <w:rPr>
          <w:b/>
        </w:rPr>
        <w:t>Q6 (wifi, học trực tuyến) và Q9 (học phí), đều 3,24</w:t>
      </w:r>
      <w:r>
        <w:rPr>
          <w:b w:val="0"/>
        </w:rPr>
        <w:t>; sau đó là Q4 (3,47) và Q7 (3,48 sau mã hóa).</w:t>
      </w:r>
    </w:p>
    <w:p>
      <w:pPr>
        <w:pStyle w:val="ListBullet"/>
      </w:pPr>
      <w:r>
        <w:rPr>
          <w:b w:val="0"/>
        </w:rPr>
        <w:t>Cao nhất: Q2 (4,07) – duy nhất đạt mức "tốt".</w:t>
      </w:r>
    </w:p>
    <w:p>
      <w:pPr>
        <w:pStyle w:val="ListBullet"/>
      </w:pPr>
      <w:r>
        <w:rPr>
          <w:b w:val="0"/>
        </w:rPr>
        <w:t>Điểm hài lòng chung Q10 = 3,79, gần như không đổi so với kỳ trước (3,80).</w:t>
      </w:r>
    </w:p>
    <w:p>
      <w:pPr>
        <w:pStyle w:val="ListBullet"/>
      </w:pPr>
      <w:r>
        <w:rPr>
          <w:b w:val="0"/>
        </w:rPr>
        <w:t xml:space="preserve">Về xu hướng: mọi chênh lệch so với kỳ trước đều từ −0,18 đến +0,12. Dữ liệu chỉ có điểm trung bình kỳ trước, không có số phiếu, độ lệch chuẩn hay quy mô mẫu kỳ trước nên </w:t>
      </w:r>
      <w:r>
        <w:rPr>
          <w:b/>
        </w:rPr>
        <w:t>không kiểm định được ý nghĩa thống kê</w:t>
      </w:r>
      <w:r>
        <w:rPr>
          <w:b w:val="0"/>
        </w:rPr>
        <w:t>; chỉ có thể nói "gần như giữ nguyên", chưa nên nói "cải thiện" hay "suy giảm". Q6 giảm 0,16 là câu duy nhất vừa thấp vừa giảm, đáng theo dõi.</w:t>
      </w:r>
    </w:p>
    <w:p>
      <w:pPr>
        <w:pStyle w:val="ListBullet"/>
      </w:pPr>
      <w:r>
        <w:rPr>
          <w:b w:val="0"/>
        </w:rPr>
        <w:t xml:space="preserve">Số kỳ trước của Q7 (2,70) được hiểu là điểm gốc (chưa đảo). Đây là </w:t>
      </w:r>
      <w:r>
        <w:rPr>
          <w:b/>
        </w:rPr>
        <w:t>giả định</w:t>
      </w:r>
      <w:r>
        <w:rPr>
          <w:b w:val="0"/>
        </w:rPr>
        <w:t>; nếu kỳ trước đã đảo chiều thì kết luận về Q7 đổi ngược. Cần đơn vị xác nhận.</w:t>
      </w:r>
    </w:p>
    <w:p>
      <w:pPr>
        <w:pStyle w:val="Heading2"/>
      </w:pPr>
      <w:r>
        <w:t>3. So sánh theo khoa (câu Q10 – hài lòng chung)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Khoa</w:t>
            </w:r>
          </w:p>
        </w:tc>
        <w:tc>
          <w:tcPr>
            <w:tcW w:type="dxa" w:w="2160"/>
          </w:tcPr>
          <w:p>
            <w:r>
              <w:rPr>
                <w:b/>
              </w:rPr>
              <w:t>Số phiếu hợp lệ</w:t>
            </w:r>
          </w:p>
        </w:tc>
        <w:tc>
          <w:tcPr>
            <w:tcW w:type="dxa" w:w="2160"/>
          </w:tcPr>
          <w:p>
            <w:r>
              <w:rPr>
                <w:b/>
              </w:rPr>
              <w:t>TB Q10</w:t>
            </w:r>
          </w:p>
        </w:tc>
        <w:tc>
          <w:tcPr>
            <w:tcW w:type="dxa" w:w="2160"/>
          </w:tcPr>
          <w:p>
            <w:r>
              <w:rPr>
                <w:b/>
              </w:rPr>
              <w:t>Ghi chú</w:t>
            </w:r>
          </w:p>
        </w:tc>
      </w:tr>
      <w:tr>
        <w:tc>
          <w:tcPr>
            <w:tcW w:type="dxa" w:w="2160"/>
          </w:tcPr>
          <w:p>
            <w:r>
              <w:t>Ngôn ngữ ứng dụng (NNUD)</w:t>
            </w:r>
          </w:p>
        </w:tc>
        <w:tc>
          <w:tcPr>
            <w:tcW w:type="dxa" w:w="2160"/>
          </w:tcPr>
          <w:p>
            <w:r>
              <w:t>56</w:t>
            </w:r>
          </w:p>
        </w:tc>
        <w:tc>
          <w:tcPr>
            <w:tcW w:type="dxa" w:w="2160"/>
          </w:tcPr>
          <w:p>
            <w:r>
              <w:t>3,96</w:t>
            </w:r>
          </w:p>
        </w:tc>
        <w:tc>
          <w:tcPr>
            <w:tcW w:type="dxa" w:w="2160"/>
          </w:tcPr>
          <w:p>
            <w:r>
              <w:t>Cao nhất trong các nhóm đủ cỡ mẫu</w:t>
            </w:r>
          </w:p>
        </w:tc>
      </w:tr>
      <w:tr>
        <w:tc>
          <w:tcPr>
            <w:tcW w:type="dxa" w:w="2160"/>
          </w:tcPr>
          <w:p>
            <w:r>
              <w:t>Kinh tế và Quản lý (KTQL)</w:t>
            </w:r>
          </w:p>
        </w:tc>
        <w:tc>
          <w:tcPr>
            <w:tcW w:type="dxa" w:w="2160"/>
          </w:tcPr>
          <w:p>
            <w:r>
              <w:t>98</w:t>
            </w:r>
          </w:p>
        </w:tc>
        <w:tc>
          <w:tcPr>
            <w:tcW w:type="dxa" w:w="2160"/>
          </w:tcPr>
          <w:p>
            <w:r>
              <w:t>3,90</w:t>
            </w:r>
          </w:p>
        </w:tc>
        <w:tc>
          <w:tcPr>
            <w:tcW w:type="dxa" w:w="2160"/>
          </w:tcPr>
          <w:p>
            <w:r/>
          </w:p>
        </w:tc>
      </w:tr>
      <w:tr>
        <w:tc>
          <w:tcPr>
            <w:tcW w:type="dxa" w:w="2160"/>
          </w:tcPr>
          <w:p>
            <w:r>
              <w:t>Tài chính và Kế toán (TCKT)</w:t>
            </w:r>
          </w:p>
        </w:tc>
        <w:tc>
          <w:tcPr>
            <w:tcW w:type="dxa" w:w="2160"/>
          </w:tcPr>
          <w:p>
            <w:r>
              <w:t>72</w:t>
            </w:r>
          </w:p>
        </w:tc>
        <w:tc>
          <w:tcPr>
            <w:tcW w:type="dxa" w:w="2160"/>
          </w:tcPr>
          <w:p>
            <w:r>
              <w:t>3,75</w:t>
            </w:r>
          </w:p>
        </w:tc>
        <w:tc>
          <w:tcPr>
            <w:tcW w:type="dxa" w:w="2160"/>
          </w:tcPr>
          <w:p>
            <w:r/>
          </w:p>
        </w:tc>
      </w:tr>
      <w:tr>
        <w:tc>
          <w:tcPr>
            <w:tcW w:type="dxa" w:w="2160"/>
          </w:tcPr>
          <w:p>
            <w:r>
              <w:t>Các khoa học ứng dụng (KHUD)</w:t>
            </w:r>
          </w:p>
        </w:tc>
        <w:tc>
          <w:tcPr>
            <w:tcW w:type="dxa" w:w="2160"/>
          </w:tcPr>
          <w:p>
            <w:r>
              <w:t>47</w:t>
            </w:r>
          </w:p>
        </w:tc>
        <w:tc>
          <w:tcPr>
            <w:tcW w:type="dxa" w:w="2160"/>
          </w:tcPr>
          <w:p>
            <w:r>
              <w:t>3,60</w:t>
            </w:r>
          </w:p>
        </w:tc>
        <w:tc>
          <w:tcPr>
            <w:tcW w:type="dxa" w:w="2160"/>
          </w:tcPr>
          <w:p>
            <w:r/>
          </w:p>
        </w:tc>
      </w:tr>
      <w:tr>
        <w:tc>
          <w:tcPr>
            <w:tcW w:type="dxa" w:w="2160"/>
          </w:tcPr>
          <w:p>
            <w:r>
              <w:t>Kỹ thuật và Công nghệ (KTCN)</w:t>
            </w:r>
          </w:p>
        </w:tc>
        <w:tc>
          <w:tcPr>
            <w:tcW w:type="dxa" w:w="2160"/>
          </w:tcPr>
          <w:p>
            <w:r>
              <w:t>67</w:t>
            </w:r>
          </w:p>
        </w:tc>
        <w:tc>
          <w:tcPr>
            <w:tcW w:type="dxa" w:w="2160"/>
          </w:tcPr>
          <w:p>
            <w:r>
              <w:t>3,52</w:t>
            </w:r>
          </w:p>
        </w:tc>
        <w:tc>
          <w:tcPr>
            <w:tcW w:type="dxa" w:w="2160"/>
          </w:tcPr>
          <w:p>
            <w:r>
              <w:t>Thấp nhất</w:t>
            </w:r>
          </w:p>
        </w:tc>
      </w:tr>
      <w:tr>
        <w:tc>
          <w:tcPr>
            <w:tcW w:type="dxa" w:w="2160"/>
          </w:tcPr>
          <w:p>
            <w:r>
              <w:t>Quốc tế Pháp ngữ (IFI)</w:t>
            </w:r>
          </w:p>
        </w:tc>
        <w:tc>
          <w:tcPr>
            <w:tcW w:type="dxa" w:w="2160"/>
          </w:tcPr>
          <w:p>
            <w:r>
              <w:t>20</w:t>
            </w:r>
          </w:p>
        </w:tc>
        <w:tc>
          <w:tcPr>
            <w:tcW w:type="dxa" w:w="2160"/>
          </w:tcPr>
          <w:p>
            <w:r>
              <w:t>(4,20)</w:t>
            </w:r>
          </w:p>
        </w:tc>
        <w:tc>
          <w:tcPr>
            <w:tcW w:type="dxa" w:w="2160"/>
          </w:tcPr>
          <w:p>
            <w:r>
              <w:t>**Dưới 30 phiếu – không kết luận riêng, không dùng để xếp hạng**</w:t>
            </w:r>
          </w:p>
        </w:tc>
      </w:tr>
    </w:tbl>
    <w:p>
      <w:pPr>
        <w:pStyle w:val="ListBullet"/>
      </w:pPr>
      <w:r>
        <w:rPr>
          <w:b w:val="0"/>
        </w:rPr>
        <w:t>Chênh lệch có ý nghĩa thực tiễn (≥ 0,3 điểm): KTCN thấp hơn NNUD 0,44 và thấp hơn KTQL 0,38; KHUD thấp hơn NNUD 0,36.</w:t>
      </w:r>
    </w:p>
    <w:p>
      <w:pPr>
        <w:pStyle w:val="ListBullet"/>
      </w:pPr>
      <w:r>
        <w:rPr>
          <w:b w:val="0"/>
        </w:rPr>
        <w:t>Với KTCN, các câu thấp nổi bật nên đọc cùng bảng chi tiết do công cụ cung cấp (Q6 2,97; Q9 3,09 – hai câu thấp nhất của khoa).</w:t>
      </w:r>
    </w:p>
    <w:p>
      <w:pPr>
        <w:pStyle w:val="ListBullet"/>
      </w:pPr>
      <w:r>
        <w:rPr>
          <w:b w:val="0"/>
        </w:rPr>
        <w:t>Đây là so sánh mô tả; chưa kiểm định, và chưa có thông tin về tỷ lệ phản hồi từng khoa nên có nguy cơ chênh lệch do khoa nào phản hồi nhiều hơn.</w:t>
      </w:r>
    </w:p>
    <w:p>
      <w:pPr>
        <w:pStyle w:val="ListBullet"/>
      </w:pPr>
      <w:r>
        <w:rPr>
          <w:b w:val="0"/>
        </w:rPr>
        <w:t>Chưa so sánh theo khóa học/năm và loại chương trình trong báo cáo này; bảng theo chương trình do công cụ cung cấp (CB 3,85; LK 3,65; SB 3,81) cho thấy chương trình liên kết thấp hơn 0,2 điểm, chưa đến ngưỡng 0,3. Không gộp chương trình liên kết với chương trình ĐHQGHN cấp bằng.</w:t>
      </w:r>
    </w:p>
    <w:p>
      <w:pPr>
        <w:pStyle w:val="Heading2"/>
      </w:pPr>
      <w:r>
        <w:t>4. Ý kiến mở (Q11)</w:t>
      </w:r>
    </w:p>
    <w:p>
      <w:r>
        <w:rPr>
          <w:b w:val="0"/>
        </w:rPr>
        <w:t xml:space="preserve">Có </w:t>
      </w:r>
      <w:r>
        <w:rPr>
          <w:b/>
        </w:rPr>
        <w:t>63</w:t>
      </w:r>
      <w:r>
        <w:rPr>
          <w:b w:val="0"/>
        </w:rPr>
        <w:t xml:space="preserve"> ý kiến ghi nhận được (khoảng 16% của 400 phiếu sau bỏ trùng; chỉ phản ánh nhóm chủ động viết). Có 6 mã khảo sát xuất hiện nhiều hơn một lần trong file ý kiến, và 7 ý kiến thuộc phiếu đã bị loại ở mục 1; các ý kiến này vẫn được đọc nhưng cần ghi rõ khi trích và khi đếm. Phân nhóm do người đọc/AI thực hiện sơ bộ, số đếm cần cán bộ kiểm lại.</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Chủ đề</w:t>
            </w:r>
          </w:p>
        </w:tc>
        <w:tc>
          <w:tcPr>
            <w:tcW w:type="dxa" w:w="2160"/>
          </w:tcPr>
          <w:p>
            <w:r>
              <w:rPr>
                <w:b/>
              </w:rPr>
              <w:t>Số ý kiến</w:t>
            </w:r>
          </w:p>
        </w:tc>
        <w:tc>
          <w:tcPr>
            <w:tcW w:type="dxa" w:w="2160"/>
          </w:tcPr>
          <w:p>
            <w:r>
              <w:rPr>
                <w:b/>
              </w:rPr>
              <w:t>Tỷ lệ trên 63</w:t>
            </w:r>
          </w:p>
        </w:tc>
        <w:tc>
          <w:tcPr>
            <w:tcW w:type="dxa" w:w="2160"/>
          </w:tcPr>
          <w:p>
            <w:r>
              <w:rPr>
                <w:b/>
              </w:rPr>
              <w:t>Ví dụ (đã che danh tính)</w:t>
            </w:r>
          </w:p>
        </w:tc>
      </w:tr>
      <w:tr>
        <w:tc>
          <w:tcPr>
            <w:tcW w:type="dxa" w:w="2160"/>
          </w:tcPr>
          <w:p>
            <w:r>
              <w:t>Cơ sở vật chất, thư viện, ký túc xá, chỗ học</w:t>
            </w:r>
          </w:p>
        </w:tc>
        <w:tc>
          <w:tcPr>
            <w:tcW w:type="dxa" w:w="2160"/>
          </w:tcPr>
          <w:p>
            <w:r>
              <w:t>13</w:t>
            </w:r>
          </w:p>
        </w:tc>
        <w:tc>
          <w:tcPr>
            <w:tcW w:type="dxa" w:w="2160"/>
          </w:tcPr>
          <w:p>
            <w:r>
              <w:t>20,6%</w:t>
            </w:r>
          </w:p>
        </w:tc>
        <w:tc>
          <w:tcPr>
            <w:tcW w:type="dxa" w:w="2160"/>
          </w:tcPr>
          <w:p>
            <w:r>
              <w:t>"Phòng học ở Phan Tây Nhạc nóng, điều hòa hỏng"; "Ký túc xá thiếu chỗ, giá cao"</w:t>
            </w:r>
          </w:p>
        </w:tc>
      </w:tr>
      <w:tr>
        <w:tc>
          <w:tcPr>
            <w:tcW w:type="dxa" w:w="2160"/>
          </w:tcPr>
          <w:p>
            <w:r>
              <w:t>Mạng wifi, LMS, cổng đăng ký học phần</w:t>
            </w:r>
          </w:p>
        </w:tc>
        <w:tc>
          <w:tcPr>
            <w:tcW w:type="dxa" w:w="2160"/>
          </w:tcPr>
          <w:p>
            <w:r>
              <w:t>12</w:t>
            </w:r>
          </w:p>
        </w:tc>
        <w:tc>
          <w:tcPr>
            <w:tcW w:type="dxa" w:w="2160"/>
          </w:tcPr>
          <w:p>
            <w:r>
              <w:t>19,0%</w:t>
            </w:r>
          </w:p>
        </w:tc>
        <w:tc>
          <w:tcPr>
            <w:tcW w:type="dxa" w:w="2160"/>
          </w:tcPr>
          <w:p>
            <w:r>
              <w:t>"Wifi chập chờn, vào LMS hay lỗi"; "Cổng đăng ký học phần bị treo vào giờ mở đăng ký"</w:t>
            </w:r>
          </w:p>
        </w:tc>
      </w:tr>
      <w:tr>
        <w:tc>
          <w:tcPr>
            <w:tcW w:type="dxa" w:w="2160"/>
          </w:tcPr>
          <w:p>
            <w:r>
              <w:t>Thủ tục, phản hồi của phòng chức năng</w:t>
            </w:r>
          </w:p>
        </w:tc>
        <w:tc>
          <w:tcPr>
            <w:tcW w:type="dxa" w:w="2160"/>
          </w:tcPr>
          <w:p>
            <w:r>
              <w:t>8</w:t>
            </w:r>
          </w:p>
        </w:tc>
        <w:tc>
          <w:tcPr>
            <w:tcW w:type="dxa" w:w="2160"/>
          </w:tcPr>
          <w:p>
            <w:r>
              <w:t>12,7%</w:t>
            </w:r>
          </w:p>
        </w:tc>
        <w:tc>
          <w:tcPr>
            <w:tcW w:type="dxa" w:w="2160"/>
          </w:tcPr>
          <w:p>
            <w:r>
              <w:t>"Thủ tục xin giấy xác nhận sinh viên mất nhiều ngày"</w:t>
            </w:r>
          </w:p>
        </w:tc>
      </w:tr>
      <w:tr>
        <w:tc>
          <w:tcPr>
            <w:tcW w:type="dxa" w:w="2160"/>
          </w:tcPr>
          <w:p>
            <w:r>
              <w:t>Lịch học, lịch thi, nội dung học phần</w:t>
            </w:r>
          </w:p>
        </w:tc>
        <w:tc>
          <w:tcPr>
            <w:tcW w:type="dxa" w:w="2160"/>
          </w:tcPr>
          <w:p>
            <w:r>
              <w:t>7</w:t>
            </w:r>
          </w:p>
        </w:tc>
        <w:tc>
          <w:tcPr>
            <w:tcW w:type="dxa" w:w="2160"/>
          </w:tcPr>
          <w:p>
            <w:r>
              <w:t>11,1%</w:t>
            </w:r>
          </w:p>
        </w:tc>
        <w:tc>
          <w:tcPr>
            <w:tcW w:type="dxa" w:w="2160"/>
          </w:tcPr>
          <w:p>
            <w:r>
              <w:t>"Lịch thi dày, nhiều môn thi sát nhau"</w:t>
            </w:r>
          </w:p>
        </w:tc>
      </w:tr>
      <w:tr>
        <w:tc>
          <w:tcPr>
            <w:tcW w:type="dxa" w:w="2160"/>
          </w:tcPr>
          <w:p>
            <w:r>
              <w:t>Học phí</w:t>
            </w:r>
          </w:p>
        </w:tc>
        <w:tc>
          <w:tcPr>
            <w:tcW w:type="dxa" w:w="2160"/>
          </w:tcPr>
          <w:p>
            <w:r>
              <w:t>6</w:t>
            </w:r>
          </w:p>
        </w:tc>
        <w:tc>
          <w:tcPr>
            <w:tcW w:type="dxa" w:w="2160"/>
          </w:tcPr>
          <w:p>
            <w:r>
              <w:t>9,5%</w:t>
            </w:r>
          </w:p>
        </w:tc>
        <w:tc>
          <w:tcPr>
            <w:tcW w:type="dxa" w:w="2160"/>
          </w:tcPr>
          <w:p>
            <w:r>
              <w:t>"Học phí cao so với chất lượng cơ sở vật chất"</w:t>
            </w:r>
          </w:p>
        </w:tc>
      </w:tr>
      <w:tr>
        <w:tc>
          <w:tcPr>
            <w:tcW w:type="dxa" w:w="2160"/>
          </w:tcPr>
          <w:p>
            <w:r>
              <w:t>Học liệu tiếng Anh</w:t>
            </w:r>
          </w:p>
        </w:tc>
        <w:tc>
          <w:tcPr>
            <w:tcW w:type="dxa" w:w="2160"/>
          </w:tcPr>
          <w:p>
            <w:r>
              <w:t>4</w:t>
            </w:r>
          </w:p>
        </w:tc>
        <w:tc>
          <w:tcPr>
            <w:tcW w:type="dxa" w:w="2160"/>
          </w:tcPr>
          <w:p>
            <w:r>
              <w:t>6,3%</w:t>
            </w:r>
          </w:p>
        </w:tc>
        <w:tc>
          <w:tcPr>
            <w:tcW w:type="dxa" w:w="2160"/>
          </w:tcPr>
          <w:p>
            <w:r>
              <w:t>"Học liệu tiếng Anh cần cập nhật"</w:t>
            </w:r>
          </w:p>
        </w:tc>
      </w:tr>
      <w:tr>
        <w:tc>
          <w:tcPr>
            <w:tcW w:type="dxa" w:w="2160"/>
          </w:tcPr>
          <w:p>
            <w:r>
              <w:t>Học bổng, hoạt động ngoại khóa</w:t>
            </w:r>
          </w:p>
        </w:tc>
        <w:tc>
          <w:tcPr>
            <w:tcW w:type="dxa" w:w="2160"/>
          </w:tcPr>
          <w:p>
            <w:r>
              <w:t>4</w:t>
            </w:r>
          </w:p>
        </w:tc>
        <w:tc>
          <w:tcPr>
            <w:tcW w:type="dxa" w:w="2160"/>
          </w:tcPr>
          <w:p>
            <w:r>
              <w:t>6,3%</w:t>
            </w:r>
          </w:p>
        </w:tc>
        <w:tc>
          <w:tcPr>
            <w:tcW w:type="dxa" w:w="2160"/>
          </w:tcPr>
          <w:p>
            <w:r>
              <w:t>"Mong có thêm học bổng cho sinh viên năm cuối"</w:t>
            </w:r>
          </w:p>
        </w:tc>
      </w:tr>
      <w:tr>
        <w:tc>
          <w:tcPr>
            <w:tcW w:type="dxa" w:w="2160"/>
          </w:tcPr>
          <w:p>
            <w:r>
              <w:t>**Ý kiến tích cực**</w:t>
            </w:r>
          </w:p>
        </w:tc>
        <w:tc>
          <w:tcPr>
            <w:tcW w:type="dxa" w:w="2160"/>
          </w:tcPr>
          <w:p>
            <w:r>
              <w:t>6</w:t>
            </w:r>
          </w:p>
        </w:tc>
        <w:tc>
          <w:tcPr>
            <w:tcW w:type="dxa" w:w="2160"/>
          </w:tcPr>
          <w:p>
            <w:r>
              <w:t>9,5%</w:t>
            </w:r>
          </w:p>
        </w:tc>
        <w:tc>
          <w:tcPr>
            <w:tcW w:type="dxa" w:w="2160"/>
          </w:tcPr>
          <w:p>
            <w:r>
              <w:t>"Giảng viên nhiệt tình, hỗ trợ tốt"; "Hài lòng với môi trường học tập quốc tế"</w:t>
            </w:r>
          </w:p>
        </w:tc>
      </w:tr>
      <w:tr>
        <w:tc>
          <w:tcPr>
            <w:tcW w:type="dxa" w:w="2160"/>
          </w:tcPr>
          <w:p>
            <w:r>
              <w:t>Ý kiến cá nhân, không đưa vào thống kê chủ đề</w:t>
            </w:r>
          </w:p>
        </w:tc>
        <w:tc>
          <w:tcPr>
            <w:tcW w:type="dxa" w:w="2160"/>
          </w:tcPr>
          <w:p>
            <w:r>
              <w:t>3</w:t>
            </w:r>
          </w:p>
        </w:tc>
        <w:tc>
          <w:tcPr>
            <w:tcW w:type="dxa" w:w="2160"/>
          </w:tcPr>
          <w:p>
            <w:r>
              <w:t>4,8%</w:t>
            </w:r>
          </w:p>
        </w:tc>
        <w:tc>
          <w:tcPr>
            <w:tcW w:type="dxa" w:w="2160"/>
          </w:tcPr>
          <w:p>
            <w:r>
              <w:t>Xem ghi chú dưới</w:t>
            </w:r>
          </w:p>
        </w:tc>
      </w:tr>
    </w:tbl>
    <w:p>
      <w:r>
        <w:rPr>
          <w:b/>
        </w:rPr>
        <w:t>Ghi chú về dữ liệu cá nhân:</w:t>
      </w:r>
      <w:r>
        <w:rPr>
          <w:b w:val="0"/>
        </w:rPr>
        <w:t xml:space="preserve"> 3 ý kiến chứa thông tin định danh hoặc hoàn cảnh cá nhân (số điện thoại, email, hoàn cảnh gia đình, tên tắt của giảng viên/cán bộ). Các ý kiến này </w:t>
      </w:r>
      <w:r>
        <w:rPr>
          <w:b/>
        </w:rPr>
        <w:t>không được trích nguyên văn</w:t>
      </w:r>
      <w:r>
        <w:rPr>
          <w:b w:val="0"/>
        </w:rPr>
        <w:t xml:space="preserve"> trong báo cáo. Nội dung phàn nàn về cá nhân cụ thể và đề nghị xét miễn giảm học phí là việc của đầu mối tiếp nhận phản ánh/công tác sinh viên, không đưa vào báo cáo khảo sát chung; cần chuyển theo kênh phù hợp và kiểm soát quyền xem.</w:t>
      </w:r>
    </w:p>
    <w:p>
      <w:pPr>
        <w:pStyle w:val="Heading2"/>
      </w:pPr>
      <w:r>
        <w:t>5. Kết luận và đề xuất (03–05 đề xuất)</w:t>
      </w:r>
    </w:p>
    <w:p>
      <w:r>
        <w:rPr>
          <w:b w:val="0"/>
        </w:rPr>
        <w:t xml:space="preserve">Nhận xét chung: sinh viên đánh giá cao giảng viên (Q2 = 4,07) và hài lòng ở mức trung bình khá với tổng thể (Q10 = 3,79). Hai điểm yếu rõ nhất là </w:t>
      </w:r>
      <w:r>
        <w:rPr>
          <w:b/>
        </w:rPr>
        <w:t>hạ tầng mạng/hệ thống học trực tuyến (Q6)</w:t>
      </w:r>
      <w:r>
        <w:rPr>
          <w:b w:val="0"/>
        </w:rPr>
        <w:t xml:space="preserve"> và </w:t>
      </w:r>
      <w:r>
        <w:rPr>
          <w:b/>
        </w:rPr>
        <w:t>cảm nhận về học phí so với chất lượng (Q9)</w:t>
      </w:r>
      <w:r>
        <w:rPr>
          <w:b w:val="0"/>
        </w:rPr>
        <w:t xml:space="preserve">; câu hỏi mở cũng tập trung vào cơ sở vật chất và hệ thống CNTT. Đề xuất sau là </w:t>
      </w:r>
      <w:r>
        <w:rPr>
          <w:b/>
        </w:rPr>
        <w:t>dự thảo để lãnh đạo phòng/đơn vị quyết định</w:t>
      </w:r>
      <w:r>
        <w:rPr>
          <w:b w:val="0"/>
        </w:rPr>
        <w:t>; đơn vị chịu trách nhiệm và thời hạn là gợi ý, chưa có phê duyệt.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STT</w:t>
            </w:r>
          </w:p>
        </w:tc>
        <w:tc>
          <w:tcPr>
            <w:tcW w:type="dxa" w:w="1728"/>
          </w:tcPr>
          <w:p>
            <w:r>
              <w:rPr>
                <w:b/>
              </w:rPr>
              <w:t>Đề xuất</w:t>
            </w:r>
          </w:p>
        </w:tc>
        <w:tc>
          <w:tcPr>
            <w:tcW w:type="dxa" w:w="1728"/>
          </w:tcPr>
          <w:p>
            <w:r>
              <w:rPr>
                <w:b/>
              </w:rPr>
              <w:t>Căn cứ trong dữ liệu</w:t>
            </w:r>
          </w:p>
        </w:tc>
        <w:tc>
          <w:tcPr>
            <w:tcW w:type="dxa" w:w="1728"/>
          </w:tcPr>
          <w:p>
            <w:r>
              <w:rPr>
                <w:b/>
              </w:rPr>
              <w:t>Đơn vị gợi ý</w:t>
            </w:r>
          </w:p>
        </w:tc>
        <w:tc>
          <w:tcPr>
            <w:tcW w:type="dxa" w:w="1728"/>
          </w:tcPr>
          <w:p>
            <w:r>
              <w:rPr>
                <w:b/>
              </w:rPr>
              <w:t>Thời hạn</w:t>
            </w:r>
          </w:p>
        </w:tc>
      </w:tr>
      <w:tr>
        <w:tc>
          <w:tcPr>
            <w:tcW w:type="dxa" w:w="1728"/>
          </w:tcPr>
          <w:p>
            <w:r>
              <w:t>1</w:t>
            </w:r>
          </w:p>
        </w:tc>
        <w:tc>
          <w:tcPr>
            <w:tcW w:type="dxa" w:w="1728"/>
          </w:tcPr>
          <w:p>
            <w:r>
              <w:t>Rà soát sự cố wifi/LMS và cổng đăng ký học phần theo cơ sở, theo giờ cao điểm trước kỳ đăng ký tới</w:t>
            </w:r>
          </w:p>
        </w:tc>
        <w:tc>
          <w:tcPr>
            <w:tcW w:type="dxa" w:w="1728"/>
          </w:tcPr>
          <w:p>
            <w:r>
              <w:t>Q6 = 3,24 (giảm 0,16); 12 ý kiến mở</w:t>
            </w:r>
          </w:p>
        </w:tc>
        <w:tc>
          <w:tcPr>
            <w:tcW w:type="dxa" w:w="1728"/>
          </w:tcPr>
          <w:p>
            <w:r>
              <w:t>Đơn vị phụ trách CNTT, phối hợp Phòng Đào tạo</w:t>
            </w:r>
          </w:p>
        </w:tc>
        <w:tc>
          <w:tcPr>
            <w:tcW w:type="dxa" w:w="1728"/>
          </w:tcPr>
          <w:p>
            <w:r>
              <w:t>Chờ lãnh đạo xác định</w:t>
            </w:r>
          </w:p>
        </w:tc>
      </w:tr>
      <w:tr>
        <w:tc>
          <w:tcPr>
            <w:tcW w:type="dxa" w:w="1728"/>
          </w:tcPr>
          <w:p>
            <w:r>
              <w:t>2</w:t>
            </w:r>
          </w:p>
        </w:tc>
        <w:tc>
          <w:tcPr>
            <w:tcW w:type="dxa" w:w="1728"/>
          </w:tcPr>
          <w:p>
            <w:r>
              <w:t>Kiểm tra tình trạng phòng học và điều hòa tại các cơ sở được nêu</w:t>
            </w:r>
          </w:p>
        </w:tc>
        <w:tc>
          <w:tcPr>
            <w:tcW w:type="dxa" w:w="1728"/>
          </w:tcPr>
          <w:p>
            <w:r>
              <w:t>Q4 = 3,47; 13 ý kiến về cơ sở vật chất</w:t>
            </w:r>
          </w:p>
        </w:tc>
        <w:tc>
          <w:tcPr>
            <w:tcW w:type="dxa" w:w="1728"/>
          </w:tcPr>
          <w:p>
            <w:r>
              <w:t>Đơn vị phụ trách cơ sở vật chất</w:t>
            </w:r>
          </w:p>
        </w:tc>
        <w:tc>
          <w:tcPr>
            <w:tcW w:type="dxa" w:w="1728"/>
          </w:tcPr>
          <w:p>
            <w:r>
              <w:t>Chờ xác định</w:t>
            </w:r>
          </w:p>
        </w:tc>
      </w:tr>
      <w:tr>
        <w:tc>
          <w:tcPr>
            <w:tcW w:type="dxa" w:w="1728"/>
          </w:tcPr>
          <w:p>
            <w:r>
              <w:t>3</w:t>
            </w:r>
          </w:p>
        </w:tc>
        <w:tc>
          <w:tcPr>
            <w:tcW w:type="dxa" w:w="1728"/>
          </w:tcPr>
          <w:p>
            <w:r>
              <w:t>Công bố rõ cơ cấu học phí và các khoản hỗ trợ; xem xét thêm thông tin về học bổng</w:t>
            </w:r>
          </w:p>
        </w:tc>
        <w:tc>
          <w:tcPr>
            <w:tcW w:type="dxa" w:w="1728"/>
          </w:tcPr>
          <w:p>
            <w:r>
              <w:t>Q9 = 3,24; 6 ý kiến học phí, 2 ý kiến học bổng</w:t>
            </w:r>
          </w:p>
        </w:tc>
        <w:tc>
          <w:tcPr>
            <w:tcW w:type="dxa" w:w="1728"/>
          </w:tcPr>
          <w:p>
            <w:r>
              <w:t>Phòng Đào tạo, đơn vị phụ trách tài chính</w:t>
            </w:r>
          </w:p>
        </w:tc>
        <w:tc>
          <w:tcPr>
            <w:tcW w:type="dxa" w:w="1728"/>
          </w:tcPr>
          <w:p>
            <w:r>
              <w:t>Chờ xác định</w:t>
            </w:r>
          </w:p>
        </w:tc>
      </w:tr>
      <w:tr>
        <w:tc>
          <w:tcPr>
            <w:tcW w:type="dxa" w:w="1728"/>
          </w:tcPr>
          <w:p>
            <w:r>
              <w:t>4</w:t>
            </w:r>
          </w:p>
        </w:tc>
        <w:tc>
          <w:tcPr>
            <w:tcW w:type="dxa" w:w="1728"/>
          </w:tcPr>
          <w:p>
            <w:r>
              <w:t>Rút ngắn và công khai thời gian xử lý giấy xác nhận, phản hồi email</w:t>
            </w:r>
          </w:p>
        </w:tc>
        <w:tc>
          <w:tcPr>
            <w:tcW w:type="dxa" w:w="1728"/>
          </w:tcPr>
          <w:p>
            <w:r>
              <w:t>8 ý kiến thủ tục/phản hồi; Q8 = 3,82</w:t>
            </w:r>
          </w:p>
        </w:tc>
        <w:tc>
          <w:tcPr>
            <w:tcW w:type="dxa" w:w="1728"/>
          </w:tcPr>
          <w:p>
            <w:r>
              <w:t>Phòng Đào tạo</w:t>
            </w:r>
          </w:p>
        </w:tc>
        <w:tc>
          <w:tcPr>
            <w:tcW w:type="dxa" w:w="1728"/>
          </w:tcPr>
          <w:p>
            <w:r>
              <w:t>Chờ xác định</w:t>
            </w:r>
          </w:p>
        </w:tc>
      </w:tr>
      <w:tr>
        <w:tc>
          <w:tcPr>
            <w:tcW w:type="dxa" w:w="1728"/>
          </w:tcPr>
          <w:p>
            <w:r>
              <w:t>5</w:t>
            </w:r>
          </w:p>
        </w:tc>
        <w:tc>
          <w:tcPr>
            <w:tcW w:type="dxa" w:w="1728"/>
          </w:tcPr>
          <w:p>
            <w:r>
              <w:t>Tìm hiểu nguyên nhân điểm thấp hơn ở KTCN, KHUD trước khi quyết định hành động riêng</w:t>
            </w:r>
          </w:p>
        </w:tc>
        <w:tc>
          <w:tcPr>
            <w:tcW w:type="dxa" w:w="1728"/>
          </w:tcPr>
          <w:p>
            <w:r>
              <w:t>Q10 KTCN 3,52; KHUD 3,60</w:t>
            </w:r>
          </w:p>
        </w:tc>
        <w:tc>
          <w:tcPr>
            <w:tcW w:type="dxa" w:w="1728"/>
          </w:tcPr>
          <w:p>
            <w:r>
              <w:t>Các khoa liên quan</w:t>
            </w:r>
          </w:p>
        </w:tc>
        <w:tc>
          <w:tcPr>
            <w:tcW w:type="dxa" w:w="1728"/>
          </w:tcPr>
          <w:p>
            <w:r>
              <w:t>Chờ xác định</w:t>
            </w:r>
          </w:p>
        </w:tc>
      </w:tr>
    </w:tbl>
    <w:p>
      <w:pPr>
        <w:pStyle w:val="Heading2"/>
      </w:pPr>
      <w:r>
        <w:t>6. Hạn chế của báo cáo</w:t>
      </w:r>
    </w:p>
    <w:p>
      <w:pPr>
        <w:pStyle w:val="ListBullet"/>
      </w:pPr>
      <w:r>
        <w:rPr>
          <w:b w:val="0"/>
        </w:rPr>
        <w:t>Chưa biết tỷ lệ phản hồi (thiếu tổng số phát ra).</w:t>
      </w:r>
    </w:p>
    <w:p>
      <w:pPr>
        <w:pStyle w:val="ListBullet"/>
      </w:pPr>
      <w:r>
        <w:rPr>
          <w:b w:val="0"/>
        </w:rPr>
        <w:t>Loại 22 phiếu "một mức" là quy tắc của quy trình; ảnh hưởng ở mục 1.</w:t>
      </w:r>
    </w:p>
    <w:p>
      <w:pPr>
        <w:pStyle w:val="ListBullet"/>
      </w:pPr>
      <w:r>
        <w:rPr>
          <w:b w:val="0"/>
        </w:rPr>
        <w:t>IFI dưới 30 phiếu, không kết luận.</w:t>
      </w:r>
    </w:p>
    <w:p>
      <w:pPr>
        <w:pStyle w:val="ListBullet"/>
      </w:pPr>
      <w:r>
        <w:rPr>
          <w:b w:val="0"/>
        </w:rPr>
        <w:t>Chưa kiểm định ý nghĩa thống kê của các chênh lệch; chưa có dữ liệu mẫu kỳ trước.</w:t>
      </w:r>
    </w:p>
    <w:p>
      <w:pPr>
        <w:pStyle w:val="ListBullet"/>
      </w:pPr>
      <w:r>
        <w:rPr>
          <w:b w:val="0"/>
        </w:rPr>
        <w:t>Phân nhóm ý kiến mở là sơ bộ.</w:t>
      </w:r>
    </w:p>
    <w:p>
      <w:pPr>
        <w:pStyle w:val="ListBullet"/>
      </w:pPr>
      <w:r>
        <w:rPr>
          <w:b w:val="0"/>
        </w:rPr>
        <w:t>Quy tắc ẩn danh và công bố kết quả (C5) chưa được xác nhận; báo cáo này chỉ dùng nội bộ cho đến khi xác nhận.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