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ĐOÀN TNCS HỒ CHÍ MINH ĐẠI HỌC BÁCH KHOA HÀ NỘI</w:t>
        <w:br/>
      </w:r>
      <w:r>
        <w:rPr>
          <w:b/>
          <w:color w:val="1E3A8A"/>
          <w:sz w:val="26"/>
        </w:rPr>
        <w:t>BAN TỔ CHỨC - KIỂM TRA</w:t>
        <w:br/>
      </w:r>
      <w:r>
        <w:rPr>
          <w:b/>
        </w:rPr>
        <w:t>***</w:t>
        <w:br/>
      </w:r>
    </w:p>
    <w:p>
      <w:pPr>
        <w:spacing w:before="160" w:after="80"/>
        <w:jc w:val="center"/>
      </w:pPr>
      <w:r>
        <w:rPr>
          <w:b/>
          <w:color w:val="DC2626"/>
          <w:sz w:val="32"/>
        </w:rPr>
        <w:t>ĐỀ ÁN</w:t>
        <w:br/>
        <w:t>TÁI CẤU TRÚC VÀ QUY CHUẨN HÓA VẬN HÀNH</w:t>
        <w:br/>
        <w:t>BAN TỔ CHỨC - KIỂM TRA (TCKT)</w:t>
      </w:r>
    </w:p>
    <w:p>
      <w:pPr>
        <w:spacing w:after="320"/>
        <w:jc w:val="center"/>
      </w:pPr>
      <w:r>
        <w:rPr>
          <w:i/>
          <w:color w:val="475569"/>
          <w:sz w:val="22"/>
        </w:rPr>
        <w:t>Mô hình Tinh gọn: 03 Mảng Chuyên môn Trụ cột | Cơ chế Cặp Bài Trùng (Buddy 2:2) | 1 Đầu Mối Duy Nhất</w:t>
      </w:r>
    </w:p>
    <w:p>
      <w:pPr>
        <w:keepNext/>
        <w:spacing w:before="280" w:after="80"/>
      </w:pPr>
      <w:r>
        <w:rPr>
          <w:b/>
          <w:color w:val="1E3A8A"/>
          <w:sz w:val="28"/>
        </w:rPr>
        <w:t>I. THỰC TRẠNG VÀ LÝ DO CẦN TÁI CẤU TRÚC</w:t>
      </w:r>
    </w:p>
    <w:p>
      <w:pPr>
        <w:keepNext/>
        <w:spacing w:before="200" w:after="60"/>
      </w:pPr>
      <w:r>
        <w:rPr>
          <w:b/>
          <w:color w:val="0F172A"/>
          <w:sz w:val="25"/>
        </w:rPr>
        <w:t>1. Thực trạng công tác</w:t>
      </w:r>
    </w:p>
    <w:p>
      <w:r>
        <w:t>Ban Tổ chức - Kiểm tra (TCKT) giữ vai trò then chốt trong công tác xây dựng Đoàn, quản lý tổ chức cơ sở Đoàn, đoàn viên, cán bộ Đoàn và công tác phát triển Đảng - Đoàn vụ. Hiện nay, Ban đang phụ trách theo dõi, hướng dẫn và kiểm tra 12 đơn vị cơ sở (Đoàn trường thành viên / Liên chi đoàn).</w:t>
      </w:r>
    </w:p>
    <w:p>
      <w:pPr>
        <w:pStyle w:val="ListBullet"/>
        <w:spacing w:after="60" w:line="276" w:lineRule="auto"/>
      </w:pPr>
      <w:r>
        <w:rPr>
          <w:sz w:val="23"/>
        </w:rPr>
        <w:t>Hạn chế của mô hình phân tán và manh mún trước đây: Việc phân chia quá nhiều mảng nhỏ lẻ hoặc phân chia địa bàn cục bộ dẫn đến tình trạng chồng chéo chức năng, phân tán nguồn lực; chất lượng kiểm tra hồ sơ giữa các bộ phận không đồng đều.</w:t>
      </w:r>
    </w:p>
    <w:p>
      <w:pPr>
        <w:pStyle w:val="ListBullet"/>
        <w:spacing w:after="60" w:line="276" w:lineRule="auto"/>
      </w:pPr>
      <w:r>
        <w:rPr>
          <w:sz w:val="23"/>
        </w:rPr>
        <w:t>Nguy cơ đứt gãy thông tin và quá tải cá nhân: Do sinh viên thường xuyên có các đợt thi cử, làm đồ án, việc một cá nhân ôm đồm nhiều đơn vị hoặc nhiều mảng nghiệp vụ mà không có cơ chế bọc lót rõ ràng dễ dẫn đến tình trạng chậm trễ hồ sơ, phản hồi sót lọt thông tin của cơ sở.</w:t>
      </w:r>
    </w:p>
    <w:p>
      <w:pPr>
        <w:keepNext/>
        <w:spacing w:before="200" w:after="60"/>
      </w:pPr>
      <w:r>
        <w:rPr>
          <w:b/>
          <w:color w:val="0F172A"/>
          <w:sz w:val="25"/>
        </w:rPr>
        <w:t>2. Mục tiêu tái cấu trúc: Mô hình Tinh gọn 03 Mảng Chuyên môn Trụ cột</w:t>
      </w:r>
    </w:p>
    <w:p>
      <w:r>
        <w:t>Để tối ưu hóa bộ máy quản trị, Ban quyết định không duy trì riêng biệt Mảng Truyền thông và Mảng Điểm rèn luyện (ĐRL), mà tích hợp toàn diện nhân sự và chức năng của 2 mảng này vào các mảng trụ cột tương ứng:</w:t>
      </w:r>
    </w:p>
    <w:p>
      <w:pPr>
        <w:pStyle w:val="ListBullet"/>
        <w:spacing w:after="60" w:line="276" w:lineRule="auto"/>
      </w:pPr>
      <w:r>
        <w:rPr>
          <w:sz w:val="23"/>
        </w:rPr>
        <w:t>Chuyên môn hóa tinh gọn thành 03 Mảng Trụ cột: Mảng Phát triển Đảng; Mảng Chuyển đổi số (tiếp nhận toàn diện công tác Điểm rèn luyện); Mảng Đoàn vụ (tiếp nhận toàn diện công tác Truyền thông nghiệp vụ).</w:t>
      </w:r>
    </w:p>
    <w:p>
      <w:pPr>
        <w:pStyle w:val="ListBullet"/>
        <w:spacing w:after="60" w:line="276" w:lineRule="auto"/>
      </w:pPr>
      <w:r>
        <w:rPr>
          <w:sz w:val="23"/>
        </w:rPr>
        <w:t>Cơ chế liên lạc 01 Đầu mối &amp; Bọc lót theo cặp (Buddy System 2:2): Phân công rõ trách nhiệm người phụ trách từng đơn vị, có người bọc lót tương trợ khi bận học thi, không để đứt gãy thông tin.</w:t>
      </w:r>
    </w:p>
    <w:p>
      <w:pPr>
        <w:pStyle w:val="ListBullet"/>
        <w:spacing w:after="60" w:line="276" w:lineRule="auto"/>
      </w:pPr>
      <w:r>
        <w:rPr>
          <w:sz w:val="23"/>
        </w:rPr>
        <w:t>Thống nhất trục điều hành: Core Ban tập trung vào Thường trực Ban Chủ nhiệm (03 người) và 03 Trưởng mảng; tôn trọng nguyên tắc và quy chế của Đoàn trường, làm việc thông suốt với Văn phòng Đoàn.</w:t>
      </w:r>
    </w:p>
    <w:p>
      <w:pPr>
        <w:sectPr>
          <w:pgSz w:w="11909" w:h="16834"/>
          <w:pgMar w:top="1138" w:right="1138" w:bottom="1138" w:left="1411" w:header="720" w:footer="720" w:gutter="0"/>
          <w:cols w:space="720"/>
          <w:docGrid w:linePitch="360"/>
        </w:sectPr>
      </w:pPr>
    </w:p>
    <w:p>
      <w:pPr>
        <w:spacing w:before="0" w:after="80"/>
        <w:jc w:val="center"/>
      </w:pPr>
      <w:r>
        <w:rPr>
          <w:b/>
          <w:color w:val="1E3A8A"/>
          <w:sz w:val="26"/>
        </w:rPr>
        <w:t>SƠ ĐỒ 1: CƠ CẤU TỔ CHỨC BAN TỔ CHỨC - KIỂM TRA (03 MẢNG CHUYÊN MÔN)</w:t>
      </w:r>
    </w:p>
    <w:p>
      <w:pPr>
        <w:spacing w:after="0"/>
        <w:jc w:val="center"/>
      </w:pPr>
      <w:r>
        <w:drawing>
          <wp:inline xmlns:a="http://schemas.openxmlformats.org/drawingml/2006/main" xmlns:pic="http://schemas.openxmlformats.org/drawingml/2006/picture">
            <wp:extent cx="9784080" cy="5625846"/>
            <wp:docPr id="1" name="Picture 1"/>
            <wp:cNvGraphicFramePr>
              <a:graphicFrameLocks noChangeAspect="1"/>
            </wp:cNvGraphicFramePr>
            <a:graphic>
              <a:graphicData uri="http://schemas.openxmlformats.org/drawingml/2006/picture">
                <pic:pic>
                  <pic:nvPicPr>
                    <pic:cNvPr id="0" name="so_do_1_co_cau_to_chuc.png"/>
                    <pic:cNvPicPr/>
                  </pic:nvPicPr>
                  <pic:blipFill>
                    <a:blip r:embed="rId9"/>
                    <a:stretch>
                      <a:fillRect/>
                    </a:stretch>
                  </pic:blipFill>
                  <pic:spPr>
                    <a:xfrm>
                      <a:off x="0" y="0"/>
                      <a:ext cx="9784080" cy="5625846"/>
                    </a:xfrm>
                    <a:prstGeom prst="rect"/>
                  </pic:spPr>
                </pic:pic>
              </a:graphicData>
            </a:graphic>
          </wp:inline>
        </w:drawing>
      </w:r>
    </w:p>
    <w:p>
      <w:pPr>
        <w:sectPr>
          <w:pgSz w:w="16834" w:h="11909" w:orient="landscape"/>
          <w:pgMar w:top="648" w:right="648" w:bottom="648" w:left="648" w:header="720" w:footer="720" w:gutter="0"/>
          <w:cols w:space="720"/>
          <w:docGrid w:linePitch="360"/>
        </w:sectPr>
      </w:pPr>
    </w:p>
    <w:p>
      <w:pPr>
        <w:keepNext/>
        <w:spacing w:before="280" w:after="80"/>
      </w:pPr>
      <w:r>
        <w:rPr>
          <w:b/>
          <w:color w:val="1E3A8A"/>
          <w:sz w:val="28"/>
        </w:rPr>
        <w:t>II. NGUYÊN TẮC VẬN HÀNH BỘ MÁY CƠ CẤU</w:t>
      </w:r>
    </w:p>
    <w:p>
      <w:pPr>
        <w:pStyle w:val="ListBullet"/>
        <w:spacing w:after="60" w:line="276" w:lineRule="auto"/>
      </w:pPr>
      <w:r>
        <w:rPr>
          <w:sz w:val="23"/>
        </w:rPr>
        <w:t>Ban gồm Thường trực Ban Chủ nhiệm (01 Trưởng ban, 02 Phó ban) và 03 Mảng chuyên môn trụ cột.</w:t>
      </w:r>
    </w:p>
    <w:p>
      <w:pPr>
        <w:pStyle w:val="ListBullet"/>
        <w:spacing w:after="60" w:line="276" w:lineRule="auto"/>
      </w:pPr>
      <w:r>
        <w:rPr>
          <w:sz w:val="23"/>
        </w:rPr>
        <w:t>Nguyên tắc điều hành Ban Chủ nhiệm: 02 Phó ban có vị trí, trách nhiệm ngang nhau, không chia khối cố định mà phối hợp cùng Trưởng ban điều hành toàn diện và linh hoạt chia đổi quản lý các mảng công việc theo từng giai đoạn.</w:t>
      </w:r>
    </w:p>
    <w:p>
      <w:pPr>
        <w:pStyle w:val="ListBullet"/>
        <w:spacing w:after="60" w:line="276" w:lineRule="auto"/>
      </w:pPr>
      <w:r>
        <w:rPr>
          <w:sz w:val="23"/>
        </w:rPr>
        <w:t>Core Ban (06 người): Gồm Trưởng ban, 02 Phó ban và 03 Trưởng mảng chuyên môn.</w:t>
      </w:r>
    </w:p>
    <w:p>
      <w:pPr>
        <w:sectPr>
          <w:pgSz w:w="11909" w:h="16834"/>
          <w:pgMar w:top="1138" w:right="1138" w:bottom="1138" w:left="1411" w:header="720" w:footer="720" w:gutter="0"/>
          <w:cols w:space="720"/>
          <w:docGrid w:linePitch="360"/>
        </w:sectPr>
      </w:pPr>
    </w:p>
    <w:p>
      <w:pPr>
        <w:spacing w:before="0" w:after="80"/>
        <w:jc w:val="center"/>
      </w:pPr>
      <w:r>
        <w:rPr>
          <w:b/>
          <w:color w:val="1E3A8A"/>
          <w:sz w:val="26"/>
        </w:rPr>
        <w:t>SƠ ĐỒ 2: NHÓM TÁC NGHIỆP ĐỊA BÀN VÀ CƠ CHẾ CẶP BÀI TRÙNG (BUDDY SYSTEM)</w:t>
      </w:r>
    </w:p>
    <w:p>
      <w:pPr>
        <w:spacing w:after="0"/>
        <w:jc w:val="center"/>
      </w:pPr>
      <w:r>
        <w:drawing>
          <wp:inline xmlns:a="http://schemas.openxmlformats.org/drawingml/2006/main" xmlns:pic="http://schemas.openxmlformats.org/drawingml/2006/picture">
            <wp:extent cx="9784080" cy="5625846"/>
            <wp:docPr id="2" name="Picture 2"/>
            <wp:cNvGraphicFramePr>
              <a:graphicFrameLocks noChangeAspect="1"/>
            </wp:cNvGraphicFramePr>
            <a:graphic>
              <a:graphicData uri="http://schemas.openxmlformats.org/drawingml/2006/picture">
                <pic:pic>
                  <pic:nvPicPr>
                    <pic:cNvPr id="0" name="so_do_2_nhom_tac_nghiep.png"/>
                    <pic:cNvPicPr/>
                  </pic:nvPicPr>
                  <pic:blipFill>
                    <a:blip r:embed="rId10"/>
                    <a:stretch>
                      <a:fillRect/>
                    </a:stretch>
                  </pic:blipFill>
                  <pic:spPr>
                    <a:xfrm>
                      <a:off x="0" y="0"/>
                      <a:ext cx="9784080" cy="5625846"/>
                    </a:xfrm>
                    <a:prstGeom prst="rect"/>
                  </pic:spPr>
                </pic:pic>
              </a:graphicData>
            </a:graphic>
          </wp:inline>
        </w:drawing>
      </w:r>
    </w:p>
    <w:p>
      <w:pPr>
        <w:sectPr>
          <w:pgSz w:w="16834" w:h="11909" w:orient="landscape"/>
          <w:pgMar w:top="648" w:right="648" w:bottom="648" w:left="648" w:header="720" w:footer="720" w:gutter="0"/>
          <w:cols w:space="720"/>
          <w:docGrid w:linePitch="360"/>
        </w:sectPr>
      </w:pPr>
    </w:p>
    <w:p>
      <w:pPr>
        <w:keepNext/>
        <w:spacing w:before="280" w:after="80"/>
      </w:pPr>
      <w:r>
        <w:rPr>
          <w:b/>
          <w:color w:val="1E3A8A"/>
          <w:sz w:val="28"/>
        </w:rPr>
        <w:t>III. CƠ CHẾ ĐIỀU PHỐI VÀ TÁC NGHIỆP ĐỊA BÀN</w:t>
      </w:r>
    </w:p>
    <w:p>
      <w:pPr>
        <w:keepNext/>
        <w:spacing w:before="200" w:after="60"/>
      </w:pPr>
      <w:r>
        <w:rPr>
          <w:b/>
          <w:color w:val="0F172A"/>
          <w:sz w:val="25"/>
        </w:rPr>
        <w:t>1. Cơ chế Điều phối Nhóm Tác nghiệp (03 Nhóm trưởng phụ trách 12 Đơn vị)</w:t>
      </w:r>
    </w:p>
    <w:p>
      <w:pPr>
        <w:pStyle w:val="ListBullet"/>
        <w:spacing w:after="60" w:line="276" w:lineRule="auto"/>
      </w:pPr>
      <w:r>
        <w:rPr>
          <w:sz w:val="23"/>
        </w:rPr>
        <w:t>12 đơn vị cơ sở được chia thành 3 Cụm địa bàn (mỗi Cụm gồm 4 đơn vị).</w:t>
      </w:r>
    </w:p>
    <w:p>
      <w:pPr>
        <w:pStyle w:val="ListBullet"/>
        <w:spacing w:after="60" w:line="276" w:lineRule="auto"/>
      </w:pPr>
      <w:r>
        <w:rPr>
          <w:sz w:val="23"/>
        </w:rPr>
        <w:t>Ban Chủ nhiệm chỉ định 03 Nhóm trưởng Tác nghiệp (kiêm nhiệm từ các thành viên cứng nghề), mỗi người chịu trách nhiệm điều phối tiến độ và liên lạc chung cho 4 đơn vị cơ sở thuộc Cụm.</w:t>
      </w:r>
    </w:p>
    <w:p>
      <w:pPr>
        <w:pStyle w:val="ListBullet"/>
        <w:spacing w:after="60" w:line="276" w:lineRule="auto"/>
      </w:pPr>
      <w:r>
        <w:rPr>
          <w:sz w:val="23"/>
        </w:rPr>
        <w:t>Đặc thù công tác Điểm rèn luyện: Công tác cấp mã và giải quyết khiếu nại ĐRL được thực hiện tập trung trên hệ thống số và email Outlook của Mảng Chuyển đổi số, không can thiệp cục bộ qua các nhóm chat cơ sở để đảm bảo tính độc lập, khách quan.</w:t>
      </w:r>
    </w:p>
    <w:p>
      <w:pPr>
        <w:keepNext/>
        <w:spacing w:before="200" w:after="60"/>
      </w:pPr>
      <w:r>
        <w:rPr>
          <w:b/>
          <w:color w:val="0F172A"/>
          <w:sz w:val="25"/>
        </w:rPr>
        <w:t>2. Cơ chế Cặp Bài Trùng Bọc Lót (Buddy Pair 2:2)</w:t>
      </w:r>
    </w:p>
    <w:p>
      <w:pPr>
        <w:pStyle w:val="ListBullet"/>
        <w:spacing w:after="60" w:line="276" w:lineRule="auto"/>
      </w:pPr>
      <w:r>
        <w:rPr>
          <w:sz w:val="23"/>
        </w:rPr>
        <w:t>Tại 3 mảng chuyên môn, 12 thành viên của mỗi mảng phụ trách địa bàn được ghép thành 6 Cặp bài trùng (Thành viên A &amp; Thành viên B):</w:t>
      </w:r>
    </w:p>
    <w:p>
      <w:pPr>
        <w:pStyle w:val="ListBullet"/>
        <w:spacing w:after="60" w:line="276" w:lineRule="auto"/>
      </w:pPr>
      <w:r>
        <w:rPr>
          <w:sz w:val="23"/>
        </w:rPr>
        <w:t>Bạn A: Phụ trách CHÍNH Đơn vị 1; phụ trách PHỤ (Bọc lót) Đơn vị 2.</w:t>
      </w:r>
    </w:p>
    <w:p>
      <w:pPr>
        <w:pStyle w:val="ListBullet"/>
        <w:spacing w:after="60" w:line="276" w:lineRule="auto"/>
      </w:pPr>
      <w:r>
        <w:rPr>
          <w:sz w:val="23"/>
        </w:rPr>
        <w:t>Bạn B: Phụ trách CHÍNH Đơn vị 2; phụ trách PHỤ (Bọc lót) Đơn vị 1.</w:t>
      </w:r>
    </w:p>
    <w:p>
      <w:pPr>
        <w:pStyle w:val="ListBullet"/>
        <w:spacing w:after="60" w:line="276" w:lineRule="auto"/>
      </w:pPr>
      <w:r>
        <w:rPr>
          <w:sz w:val="23"/>
        </w:rPr>
        <w:t>Lợi ích: Mỗi thành viên chỉ chịu trách nhiệm chính đúng 1 đơn vị, bảo đảm cân bằng việc học. Khi bạn A bận thi cử, đồ án -&gt; Bạn B lập tức tiếp quản trả lời và xử lý cho Đơn vị 1, thông tin không bao giờ bị gián đoạn.</w:t>
      </w:r>
    </w:p>
    <w:p>
      <w:pPr>
        <w:keepNext/>
        <w:spacing w:before="280" w:after="80"/>
      </w:pPr>
      <w:r>
        <w:rPr>
          <w:b/>
          <w:color w:val="1E3A8A"/>
          <w:sz w:val="28"/>
        </w:rPr>
        <w:t>IV. BẢNG PHÂN BỔ ĐỊNH BIÊN NHÂN SỰ TOÀN BAN (67 NGƯỜI)</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1E3A8A"/>
          </w:tcPr>
          <w:p>
            <w:pPr>
              <w:jc w:val="center"/>
            </w:pPr>
            <w:r>
              <w:t>STT</w:t>
            </w:r>
          </w:p>
        </w:tc>
        <w:tc>
          <w:tcPr>
            <w:tcW w:type="dxa" w:w="2340"/>
            <w:shd w:fill="#1E3A8A"/>
          </w:tcPr>
          <w:p>
            <w:pPr>
              <w:jc w:val="center"/>
            </w:pPr>
            <w:r>
              <w:t>Bộ phận / Mảng chuyên môn</w:t>
            </w:r>
          </w:p>
        </w:tc>
        <w:tc>
          <w:tcPr>
            <w:tcW w:type="dxa" w:w="2340"/>
            <w:shd w:fill="#1E3A8A"/>
          </w:tcPr>
          <w:p>
            <w:pPr>
              <w:jc w:val="center"/>
            </w:pPr>
            <w:r>
              <w:t>Định biên</w:t>
            </w:r>
          </w:p>
        </w:tc>
        <w:tc>
          <w:tcPr>
            <w:tcW w:type="dxa" w:w="2340"/>
            <w:shd w:fill="#1E3A8A"/>
          </w:tcPr>
          <w:p>
            <w:pPr>
              <w:jc w:val="center"/>
            </w:pPr>
            <w:r>
              <w:t>Chi tiết bố trí nhân sự &amp; Phân công</w:t>
            </w:r>
          </w:p>
        </w:tc>
      </w:tr>
      <w:tr>
        <w:trPr>
          <w:cantSplit/>
        </w:trPr>
        <w:tc>
          <w:tcPr>
            <w:tcW w:type="dxa" w:w="2340"/>
            <w:shd w:fill="#F8FAFC"/>
          </w:tcPr>
          <w:p>
            <w:r>
              <w:t>0</w:t>
            </w:r>
          </w:p>
        </w:tc>
        <w:tc>
          <w:tcPr>
            <w:tcW w:type="dxa" w:w="2340"/>
            <w:shd w:fill="#F8FAFC"/>
          </w:tcPr>
          <w:p>
            <w:r>
              <w:t>Ban Chủ nhiệm (Core)</w:t>
            </w:r>
          </w:p>
        </w:tc>
        <w:tc>
          <w:tcPr>
            <w:tcW w:type="dxa" w:w="2340"/>
            <w:shd w:fill="#F8FAFC"/>
          </w:tcPr>
          <w:p>
            <w:r>
              <w:t>03 người</w:t>
            </w:r>
          </w:p>
        </w:tc>
        <w:tc>
          <w:tcPr>
            <w:tcW w:type="dxa" w:w="2340"/>
            <w:shd w:fill="#F8FAFC"/>
          </w:tcPr>
          <w:p>
            <w:r>
              <w:t>• 01 Trưởng ban (Điều hành chung toàn diện, làm việc Thường trực &amp; VP Đoàn)</w:t>
              <w:br/>
              <w:t>• 02 Phó ban (Đồng trách nhiệm, linh hoạt chia đổi quản lý các mảng)</w:t>
            </w:r>
          </w:p>
        </w:tc>
      </w:tr>
      <w:tr>
        <w:trPr>
          <w:cantSplit/>
        </w:trPr>
        <w:tc>
          <w:tcPr>
            <w:tcW w:type="dxa" w:w="2340"/>
            <w:shd w:fill="#FFFFFF"/>
          </w:tcPr>
          <w:p>
            <w:r>
              <w:t>1</w:t>
            </w:r>
          </w:p>
        </w:tc>
        <w:tc>
          <w:tcPr>
            <w:tcW w:type="dxa" w:w="2340"/>
            <w:shd w:fill="#FFFFFF"/>
          </w:tcPr>
          <w:p>
            <w:r>
              <w:t>Phát triển Đảng (kèm kết nạp Đoàn)</w:t>
            </w:r>
          </w:p>
        </w:tc>
        <w:tc>
          <w:tcPr>
            <w:tcW w:type="dxa" w:w="2340"/>
            <w:shd w:fill="#FFFFFF"/>
          </w:tcPr>
          <w:p>
            <w:r>
              <w:t>21 người</w:t>
            </w:r>
          </w:p>
        </w:tc>
        <w:tc>
          <w:tcPr>
            <w:tcW w:type="dxa" w:w="2340"/>
            <w:shd w:fill="#FFFFFF"/>
          </w:tcPr>
          <w:p>
            <w:r>
              <w:t>• 01 Trưởng mảng &amp; 01 Phó mảng</w:t>
              <w:br/>
              <w:t>• 12 Thành viên (Chia 6 Cặp bài trùng phụ trách 12 đơn vị cơ sở) kiểm tra hồ sơ Đảng &amp; lớp cảm tình Đoàn</w:t>
              <w:br/>
              <w:t>• 07 Thành viên còn lại: Không trực tiếp phụ trách 12 đơn vị cơ sở mà là backup, luân phiên trực ban cho các bạn còn lại để có thể linh hoạt tiếp nhận hồ sơ bản cứng của các đơn vị lên nộp</w:t>
            </w:r>
          </w:p>
        </w:tc>
      </w:tr>
      <w:tr>
        <w:trPr>
          <w:cantSplit/>
        </w:trPr>
        <w:tc>
          <w:tcPr>
            <w:tcW w:type="dxa" w:w="2340"/>
            <w:shd w:fill="#F8FAFC"/>
          </w:tcPr>
          <w:p>
            <w:r>
              <w:t>2</w:t>
            </w:r>
          </w:p>
        </w:tc>
        <w:tc>
          <w:tcPr>
            <w:tcW w:type="dxa" w:w="2340"/>
            <w:shd w:fill="#F8FAFC"/>
          </w:tcPr>
          <w:p>
            <w:r>
              <w:t>Chuyển đổi số &amp; ĐRL (QLDV, Outlook &amp; ĐRL)</w:t>
            </w:r>
          </w:p>
        </w:tc>
        <w:tc>
          <w:tcPr>
            <w:tcW w:type="dxa" w:w="2340"/>
            <w:shd w:fill="#F8FAFC"/>
          </w:tcPr>
          <w:p>
            <w:r>
              <w:t>22 người</w:t>
            </w:r>
          </w:p>
        </w:tc>
        <w:tc>
          <w:tcPr>
            <w:tcW w:type="dxa" w:w="2340"/>
            <w:shd w:fill="#F8FAFC"/>
          </w:tcPr>
          <w:p>
            <w:r>
              <w:t>• 01 Trưởng mảng &amp; 02 Phó mảng (01 CĐS, 01 Điểm rèn luyện)</w:t>
              <w:br/>
              <w:t>• 12 Thành viên (Chia 6 Cặp phụ trách 12 đơn vị cơ sở &amp; trực hòm thư)</w:t>
              <w:br/>
              <w:t>• 07 Thành viên chuyên trách Khối Điểm rèn luyện (cấp mã &amp; khiếu nại)</w:t>
            </w:r>
          </w:p>
        </w:tc>
      </w:tr>
      <w:tr>
        <w:trPr>
          <w:cantSplit/>
        </w:trPr>
        <w:tc>
          <w:tcPr>
            <w:tcW w:type="dxa" w:w="2340"/>
            <w:shd w:fill="#FFFFFF"/>
          </w:tcPr>
          <w:p>
            <w:r>
              <w:t>3</w:t>
            </w:r>
          </w:p>
        </w:tc>
        <w:tc>
          <w:tcPr>
            <w:tcW w:type="dxa" w:w="2340"/>
            <w:shd w:fill="#FFFFFF"/>
          </w:tcPr>
          <w:p>
            <w:r>
              <w:t>Đoàn vụ &amp; Truyền thông (Văn thư, Dấu &amp; Media)</w:t>
            </w:r>
          </w:p>
        </w:tc>
        <w:tc>
          <w:tcPr>
            <w:tcW w:type="dxa" w:w="2340"/>
            <w:shd w:fill="#FFFFFF"/>
          </w:tcPr>
          <w:p>
            <w:r>
              <w:t>21 người</w:t>
            </w:r>
          </w:p>
        </w:tc>
        <w:tc>
          <w:tcPr>
            <w:tcW w:type="dxa" w:w="2340"/>
            <w:shd w:fill="#FFFFFF"/>
          </w:tcPr>
          <w:p>
            <w:r>
              <w:t>• 01 Trưởng mảng &amp; 02 Phó mảng (01 Đoàn vụ, 01 Truyền thông)</w:t>
              <w:br/>
              <w:t>• 12 Thành viên (Chia 6 Cặp phụ trách 12 đơn vị, Dấu &amp; Sổ sách)</w:t>
              <w:br/>
              <w:t>• 06 Thành viên chuyên trách Truyền thông nghiệp vụ &amp; Infographic</w:t>
            </w:r>
          </w:p>
        </w:tc>
      </w:tr>
    </w:tbl>
    <w:p>
      <w:pPr>
        <w:spacing w:before="80"/>
      </w:pPr>
      <w:r>
        <w:rPr>
          <w:b/>
          <w:color w:val="1E3A8A"/>
        </w:rPr>
        <w:t>TỔNG QUÂN SỐ TOÀN BAN: 67 NGƯỜI (03 Ban Chủ nhiệm + 64 Thành viên 03 Mảng chuyên môn)</w:t>
      </w:r>
    </w:p>
    <w:p>
      <w:pPr>
        <w:keepNext/>
        <w:spacing w:before="280" w:after="80"/>
      </w:pPr>
      <w:r>
        <w:rPr>
          <w:b/>
          <w:color w:val="1E3A8A"/>
          <w:sz w:val="28"/>
        </w:rPr>
        <w:t>V. CHỨC NĂNG, NHIỆM VỤ VÀ ĐẦU RA CỦA 03 MẢNG CHUYÊN MÔN</w:t>
      </w:r>
    </w:p>
    <w:p>
      <w:pPr>
        <w:keepNext/>
        <w:spacing w:before="200" w:after="60"/>
      </w:pPr>
      <w:r>
        <w:rPr>
          <w:b/>
          <w:color w:val="0F172A"/>
          <w:sz w:val="25"/>
        </w:rPr>
        <w:t>1. Mảng Phát triển Đảng (21 người)</w:t>
      </w:r>
    </w:p>
    <w:p>
      <w:pPr>
        <w:pStyle w:val="ListBullet"/>
        <w:spacing w:after="60" w:line="276" w:lineRule="auto"/>
      </w:pPr>
      <w:r>
        <w:rPr>
          <w:sz w:val="23"/>
        </w:rPr>
        <w:t>Chức năng: Phụ trách công tác bồi dưỡng Đoàn viên ưu tú (ĐVƯT) phát triển Đảng và công tác phát triển Đoàn viên mới (kết nạp Đoàn) trong toàn trường; thẩm định hồ sơ nộp về Văn phòng Đoàn.</w:t>
      </w:r>
    </w:p>
    <w:p>
      <w:pPr>
        <w:pStyle w:val="ListBullet"/>
        <w:spacing w:after="60" w:line="276" w:lineRule="auto"/>
      </w:pPr>
      <w:r>
        <w:rPr>
          <w:sz w:val="23"/>
        </w:rPr>
        <w:t>Phân công và nhiệm vụ tác nghiệp:</w:t>
      </w:r>
    </w:p>
    <w:p>
      <w:pPr>
        <w:pStyle w:val="ListBullet"/>
        <w:spacing w:after="60" w:line="276" w:lineRule="auto"/>
      </w:pPr>
      <w:r>
        <w:rPr>
          <w:sz w:val="23"/>
        </w:rPr>
        <w:t>- 12 Thành viên phụ trách cơ sở (Chia 6 Cặp bài trùng): Trực tiếp kiểm tra hồ sơ Đảng, danh sách ĐVƯT, chỉ tiêu và lớp cảm tình Đoàn của 12 đơn vị cơ sở.</w:t>
      </w:r>
    </w:p>
    <w:p>
      <w:pPr>
        <w:pStyle w:val="ListBullet"/>
        <w:spacing w:after="60" w:line="276" w:lineRule="auto"/>
      </w:pPr>
      <w:r>
        <w:rPr>
          <w:sz w:val="23"/>
        </w:rPr>
        <w:t>- 07 Thành viên còn lại: Không trực tiếp phụ trách 12 đơn vị cơ sở mà đóng vai trò là lực lượng backup, luân phiên trực ban cho các bạn còn lại để có thể linh hoạt tiếp nhận hồ sơ bản cứng của các đơn vị lên nộp tại văn phòng/bàn trực.</w:t>
      </w:r>
    </w:p>
    <w:p>
      <w:pPr>
        <w:pStyle w:val="ListBullet"/>
        <w:spacing w:after="60" w:line="276" w:lineRule="auto"/>
      </w:pPr>
      <w:r>
        <w:rPr>
          <w:sz w:val="23"/>
        </w:rPr>
        <w:t>- Đối chiếu số liệu: Thẩm định hồ sơ bản cứng, đối soát với Hệ thống Hồ sơ Đảng trước khi nộp lên Văn phòng Đoàn Đại học.</w:t>
      </w:r>
    </w:p>
    <w:p>
      <w:pPr>
        <w:pStyle w:val="ListBullet"/>
        <w:spacing w:after="60" w:line="276" w:lineRule="auto"/>
      </w:pPr>
      <w:r>
        <w:rPr>
          <w:sz w:val="23"/>
        </w:rPr>
        <w:t>Sản phẩm đầu ra (Deliverables): Danh sách kết nạp Đoàn viên mới chuẩn hóa; Danh sách ĐVƯT theo kỳ; Hồ sơ nộp sang Văn phòng Đoàn chuẩn xác 100%, không bị trả về do lỗi thủ tục.</w:t>
      </w:r>
    </w:p>
    <w:p>
      <w:pPr>
        <w:keepNext/>
        <w:spacing w:before="200" w:after="60"/>
      </w:pPr>
      <w:r>
        <w:rPr>
          <w:b/>
          <w:color w:val="0F172A"/>
          <w:sz w:val="25"/>
        </w:rPr>
        <w:t>2. Mảng Chuyển đổi số &amp; Điểm rèn luyện (22 người)</w:t>
      </w:r>
    </w:p>
    <w:p>
      <w:pPr>
        <w:pStyle w:val="ListBullet"/>
        <w:spacing w:after="60" w:line="276" w:lineRule="auto"/>
      </w:pPr>
      <w:r>
        <w:rPr>
          <w:sz w:val="23"/>
        </w:rPr>
        <w:t>Chức năng: Quản trị dữ liệu số hóa tổ chức Đoàn, quản lý phần mềm Quản lý Đoàn viên (QLDV), quản trị hòm thư điện tử chính thức của Ban và quản lý, thực thi Quy chế Điểm rèn luyện (ĐRL) sinh viên thuộc thẩm quyền Đoàn - Hội.</w:t>
      </w:r>
    </w:p>
    <w:p>
      <w:pPr>
        <w:pStyle w:val="ListBullet"/>
        <w:spacing w:after="60" w:line="276" w:lineRule="auto"/>
      </w:pPr>
      <w:r>
        <w:rPr>
          <w:sz w:val="23"/>
        </w:rPr>
        <w:t>Nhiệm vụ thường xuyên:</w:t>
      </w:r>
    </w:p>
    <w:p>
      <w:pPr>
        <w:pStyle w:val="ListBullet"/>
        <w:spacing w:after="60" w:line="276" w:lineRule="auto"/>
      </w:pPr>
      <w:r>
        <w:rPr>
          <w:sz w:val="23"/>
        </w:rPr>
        <w:t>- Quản trị dữ liệu QLDV: 12 thành viên chia 6 cặp phụ trách 12 đơn vị về hệ thống QLDV (App Thanh niên Việt Nam): kiểm soát, đôn đốc cơ sở hoàn thành chỉ tiêu dữ liệu, đánh giá đoàn viên, chuyển sinh hoạt Đoàn.</w:t>
      </w:r>
    </w:p>
    <w:p>
      <w:pPr>
        <w:pStyle w:val="ListBullet"/>
        <w:spacing w:after="60" w:line="276" w:lineRule="auto"/>
      </w:pPr>
      <w:r>
        <w:rPr>
          <w:sz w:val="23"/>
        </w:rPr>
        <w:t>- Quản trị hòm thư Outlook của Ban: Trực thư, phân loại gắn thẻ 4 màu; phát hành email chính thức của Ban đôn đốc tiến độ và chuyển tiếp công văn chỉ đạo khẩn của BTV Đoàn Đại học.</w:t>
      </w:r>
    </w:p>
    <w:p>
      <w:pPr>
        <w:pStyle w:val="ListBullet"/>
        <w:spacing w:after="60" w:line="276" w:lineRule="auto"/>
      </w:pPr>
      <w:r>
        <w:rPr>
          <w:sz w:val="23"/>
        </w:rPr>
        <w:t>- Thực thi công tác Điểm rèn luyện (Bộ phận chuyên trách): Tiếp nhận tờ trình xin cấp mã hoạt động phong trào hàng tuần từ các CLB, Liên chi đoàn và Đoàn trường; thẩm định nội dung và cấp mã sự kiện trên hệ thống; kiểm soát minh chứng tham gia, điểm danh; tiếp nhận và trực tiếp xử lý khiếu nại ĐRL qua email Outlook Ban (SLA 48h); mở cổng xét duyệt, hoàn thành báo cáo tổng hợp ĐRL toàn trường.</w:t>
      </w:r>
    </w:p>
    <w:p>
      <w:pPr>
        <w:pStyle w:val="ListBullet"/>
        <w:spacing w:after="60" w:line="276" w:lineRule="auto"/>
      </w:pPr>
      <w:r>
        <w:rPr>
          <w:sz w:val="23"/>
        </w:rPr>
        <w:t>Sản phẩm đầu ra (Deliverables): Báo cáo số liệu QLDV 12 đơn vị hàng tuần; 100% hoạt động phong trào được cấp mã kịp thời; 100% khiếu nại ĐRL và email Outlook được giải quyết đúng hạn; Báo cáo tổng kết ĐRL toàn trường bàn giao đúng tiến độ.</w:t>
      </w:r>
    </w:p>
    <w:p>
      <w:pPr>
        <w:keepNext/>
        <w:spacing w:before="200" w:after="60"/>
      </w:pPr>
      <w:r>
        <w:rPr>
          <w:b/>
          <w:color w:val="0F172A"/>
          <w:sz w:val="25"/>
        </w:rPr>
        <w:t>3. Mảng Đoàn vụ &amp; Truyền thông nghiệp vụ (21 người)</w:t>
      </w:r>
    </w:p>
    <w:p>
      <w:pPr>
        <w:pStyle w:val="ListBullet"/>
        <w:spacing w:after="60" w:line="276" w:lineRule="auto"/>
      </w:pPr>
      <w:r>
        <w:rPr>
          <w:sz w:val="23"/>
        </w:rPr>
        <w:t>Chức năng: Quản lý công tác hành chính, văn thư, lưu trữ, con dấu, công tác tổ chức cán bộ, xây dựng tổ chức cơ sở Đoàn và tuyên truyền nghiệp vụ, quản trị kênh truyền thông đối ngoại của Ban TCKT.</w:t>
      </w:r>
    </w:p>
    <w:p>
      <w:pPr>
        <w:pStyle w:val="ListBullet"/>
        <w:spacing w:after="60" w:line="276" w:lineRule="auto"/>
      </w:pPr>
      <w:r>
        <w:rPr>
          <w:sz w:val="23"/>
        </w:rPr>
        <w:t>Nhiệm vụ thường xuyên:</w:t>
      </w:r>
    </w:p>
    <w:p>
      <w:pPr>
        <w:pStyle w:val="ListBullet"/>
        <w:spacing w:after="60" w:line="276" w:lineRule="auto"/>
      </w:pPr>
      <w:r>
        <w:rPr>
          <w:sz w:val="23"/>
        </w:rPr>
        <w:t>- Công tác Đoàn vụ &amp; Văn thư: Soạn thảo Quyết định thành lập, chia tách, sáp nhập, giải thể Chi đoàn; làm Quyết định chuẩn y kết quả bầu cử/kiện toàn nhân sự BCH các cơ sở Đoàn; quản lý sổ công văn đi/đến; tiếp nhận giấy mời; quản lý con dấu Ban; thực hiện đóng dấu chuyển sinh hoạt Đoàn; ghi chép biên bản các cuộc họp định kỳ của Ban và Thường trực.</w:t>
      </w:r>
    </w:p>
    <w:p>
      <w:pPr>
        <w:pStyle w:val="ListBullet"/>
        <w:spacing w:after="60" w:line="276" w:lineRule="auto"/>
      </w:pPr>
      <w:r>
        <w:rPr>
          <w:sz w:val="23"/>
        </w:rPr>
        <w:t>- Công tác Truyền thông nghiệp vụ &amp; Kênh Fanpage (Bộ phận chuyên trách): Quản trị và phát triển Fanpage Ban TCKT; sản xuất nội dung (Content) và thiết kế đồ họa (Infographic) tuyên truyền Điều lệ Đoàn, các mốc thời gian quy trình, hướng dẫn nghiệp vụ chuẩn cho cán bộ Đoàn cơ sở; thực hiện các ấn phẩm truyền hình ảnh của Ban.</w:t>
      </w:r>
    </w:p>
    <w:p>
      <w:pPr>
        <w:pStyle w:val="ListBullet"/>
        <w:spacing w:after="60" w:line="276" w:lineRule="auto"/>
      </w:pPr>
      <w:r>
        <w:rPr>
          <w:sz w:val="23"/>
        </w:rPr>
        <w:t>Sản phẩm đầu ra (Deliverables): 100% Quyết định nhân sự, chuẩn y được ban hành đúng quy chuẩn; Sổ sách và con dấu được quản lý tuyệt đối an toàn; Ấn phẩm truyền thông định kỳ chất lượng cao.</w:t>
      </w:r>
    </w:p>
    <w:p>
      <w:pPr>
        <w:keepNext/>
        <w:spacing w:before="280" w:after="80"/>
      </w:pPr>
      <w:r>
        <w:rPr>
          <w:b/>
          <w:color w:val="1E3A8A"/>
          <w:sz w:val="28"/>
        </w:rPr>
        <w:t>VI. BẢN MÔ TẢ CÔNG VIỆC (JOB DESCRIPTION - JD) TỪNG VỊ TRÍ</w:t>
      </w:r>
    </w:p>
    <w:p>
      <w:pPr>
        <w:pStyle w:val="ListBullet"/>
        <w:spacing w:after="60" w:line="276" w:lineRule="auto"/>
      </w:pPr>
      <w:r>
        <w:rPr>
          <w:sz w:val="23"/>
        </w:rPr>
        <w:t>Trưởng ban (01 người): Phụ trách chung, chịu trách nhiệm cao nhất về toàn bộ hoạt động của Ban TCKT trước Thường trực Đoàn trường / Đoàn Đại học; làm việc trực tiếp với Thường trực và Văn phòng Đoàn Đại học; ký duyệt văn bản; chủ trì họp Core Ban (06 người) và toàn thể Ban.</w:t>
      </w:r>
    </w:p>
    <w:p>
      <w:pPr>
        <w:pStyle w:val="ListBullet"/>
        <w:spacing w:after="60" w:line="276" w:lineRule="auto"/>
      </w:pPr>
      <w:r>
        <w:rPr>
          <w:sz w:val="23"/>
        </w:rPr>
        <w:t>02 Phó ban (Đồng trách nhiệm): Hỗ trợ Trưởng ban điều hành toàn diện công việc của Ban; linh hoạt chia đổi quản lý các mảng công việc (ví dụ: một Phó ban phụ trách Mảng Đảng &amp; Đoàn vụ - Truyền thông, một Phó ban phụ trách Mảng CĐS &amp; ĐRL); trực tiếp theo dõi các nhóm tác nghiệp cơ sở; rà soát hồ sơ trước khi trình ký.</w:t>
      </w:r>
    </w:p>
    <w:p>
      <w:pPr>
        <w:pStyle w:val="ListBullet"/>
        <w:spacing w:after="60" w:line="276" w:lineRule="auto"/>
      </w:pPr>
      <w:r>
        <w:rPr>
          <w:sz w:val="23"/>
        </w:rPr>
        <w:t>03 Trưởng mảng: Chịu trách nhiệm trực tiếp trước BCN về chất lượng nghiệp vụ và tiến độ của mảng mình; biên soạn checklist; thực hiện Hậu kiểm (thẩm định chuyên sâu) trước khi trình BCN; tham gia họp Core Ban 06 người.</w:t>
      </w:r>
    </w:p>
    <w:p>
      <w:pPr>
        <w:pStyle w:val="ListBullet"/>
        <w:spacing w:after="60" w:line="276" w:lineRule="auto"/>
      </w:pPr>
      <w:r>
        <w:rPr>
          <w:sz w:val="23"/>
        </w:rPr>
        <w:t>05 Phó mảng: Cánh tay phải hỗ trợ Trưởng mảng điều hành nội bộ mảng (Mảng Đảng: 01 Phó mảng; Mảng CĐS &amp; ĐRL: 02 Phó mảng; Mảng Đoàn vụ &amp; Truyền thông: 02 Phó mảng); đôn đốc thành viên và bồi dưỡng chuyên môn.</w:t>
      </w:r>
    </w:p>
    <w:p>
      <w:pPr>
        <w:pStyle w:val="ListBullet"/>
        <w:spacing w:after="60" w:line="276" w:lineRule="auto"/>
      </w:pPr>
      <w:r>
        <w:rPr>
          <w:sz w:val="23"/>
        </w:rPr>
        <w:t>03 Nhóm trưởng tác nghiệp Cụm (kiêm nhiệm): Điều phối chung tiến độ 4 đơn vị cơ sở trong Cụm; giám sát thời gian phản hồi (SLA 2h); phát ngôn chính thức trong nhóm Zalo/Teams tác nghiệp; báo cáo tiến độ tại cuộc họp Ban hàng tuần.</w:t>
      </w:r>
    </w:p>
    <w:p>
      <w:pPr>
        <w:pStyle w:val="ListBullet"/>
        <w:spacing w:after="60" w:line="276" w:lineRule="auto"/>
      </w:pPr>
      <w:r>
        <w:rPr>
          <w:sz w:val="23"/>
        </w:rPr>
        <w:t>Thành viên các mảng: Chia thành các Cặp bài trùng phụ trách chính và backup giữa 2 đơn vị cơ sở (tiền kiểm hồ sơ trong 24h, bọc lót khi bạn bận thi cử); cùng lực lượng thành viên chuyên trách/backup thực hiện các nghiệp vụ chuyên sâu theo từng mảng. Riêng Mảng Phát triển Đảng: 12 TV (6 cặp) kiểm tra hồ sơ Đảng &amp; lớp cảm tình Đoàn 12 đơn vị; 07 TV còn lại không trực tiếp phụ trách cơ sở mà làm backup, luân phiên trực ban để tiếp nhận hồ sơ bản cứng linh hoạt.</w:t>
      </w:r>
    </w:p>
    <w:p>
      <w:pPr>
        <w:sectPr>
          <w:pgSz w:w="11909" w:h="16834"/>
          <w:pgMar w:top="1138" w:right="1138" w:bottom="1138" w:left="1411" w:header="720" w:footer="720" w:gutter="0"/>
          <w:cols w:space="720"/>
          <w:docGrid w:linePitch="360"/>
        </w:sectPr>
      </w:pPr>
    </w:p>
    <w:p>
      <w:pPr>
        <w:spacing w:before="0" w:after="80"/>
        <w:jc w:val="center"/>
      </w:pPr>
      <w:r>
        <w:rPr>
          <w:b/>
          <w:color w:val="1E3A8A"/>
          <w:sz w:val="26"/>
        </w:rPr>
        <w:t>SƠ ĐỒ 3: QUY TRÌNH 4 BƯỚC PHỐI HỢP XỬ LÝ HỒ SƠ &amp; YÊU CẦU NGHIỆP VỤ (SOP)</w:t>
      </w:r>
    </w:p>
    <w:p>
      <w:pPr>
        <w:spacing w:after="0"/>
        <w:jc w:val="center"/>
      </w:pPr>
      <w:r>
        <w:drawing>
          <wp:inline xmlns:a="http://schemas.openxmlformats.org/drawingml/2006/main" xmlns:pic="http://schemas.openxmlformats.org/drawingml/2006/picture">
            <wp:extent cx="9784080" cy="5625846"/>
            <wp:docPr id="3" name="Picture 3"/>
            <wp:cNvGraphicFramePr>
              <a:graphicFrameLocks noChangeAspect="1"/>
            </wp:cNvGraphicFramePr>
            <a:graphic>
              <a:graphicData uri="http://schemas.openxmlformats.org/drawingml/2006/picture">
                <pic:pic>
                  <pic:nvPicPr>
                    <pic:cNvPr id="0" name="so_do_3_quy_trinh_sop.png"/>
                    <pic:cNvPicPr/>
                  </pic:nvPicPr>
                  <pic:blipFill>
                    <a:blip r:embed="rId11"/>
                    <a:stretch>
                      <a:fillRect/>
                    </a:stretch>
                  </pic:blipFill>
                  <pic:spPr>
                    <a:xfrm>
                      <a:off x="0" y="0"/>
                      <a:ext cx="9784080" cy="5625846"/>
                    </a:xfrm>
                    <a:prstGeom prst="rect"/>
                  </pic:spPr>
                </pic:pic>
              </a:graphicData>
            </a:graphic>
          </wp:inline>
        </w:drawing>
      </w:r>
    </w:p>
    <w:p>
      <w:pPr>
        <w:sectPr>
          <w:pgSz w:w="16834" w:h="11909" w:orient="landscape"/>
          <w:pgMar w:top="648" w:right="648" w:bottom="648" w:left="648" w:header="720" w:footer="720" w:gutter="0"/>
          <w:cols w:space="720"/>
          <w:docGrid w:linePitch="360"/>
        </w:sectPr>
      </w:pPr>
    </w:p>
    <w:p>
      <w:pPr>
        <w:keepNext/>
        <w:spacing w:before="280" w:after="80"/>
      </w:pPr>
      <w:r>
        <w:rPr>
          <w:b/>
          <w:color w:val="1E3A8A"/>
          <w:sz w:val="28"/>
        </w:rPr>
        <w:t>VII. QUY CHUẨN THỰC THI QUY TRÌNH SOP 4 BƯỚC</w:t>
      </w:r>
    </w:p>
    <w:p>
      <w:pPr>
        <w:pStyle w:val="ListBullet"/>
        <w:spacing w:after="60" w:line="276" w:lineRule="auto"/>
      </w:pPr>
      <w:r>
        <w:rPr>
          <w:sz w:val="23"/>
        </w:rPr>
        <w:t>Bước 1 - Tiếp nhận tập trung: Đơn vị cơ sở gửi văn bản, hồ sơ vào nhóm Zalo/Teams tác nghiệp; Nhóm trưởng tiếp nhận, bấm giờ SLA 2h và tag Cặp bài trùng mảng vào xử lý.</w:t>
      </w:r>
    </w:p>
    <w:p>
      <w:pPr>
        <w:pStyle w:val="ListBullet"/>
        <w:spacing w:after="60" w:line="276" w:lineRule="auto"/>
      </w:pPr>
      <w:r>
        <w:rPr>
          <w:sz w:val="23"/>
        </w:rPr>
        <w:t>Bước 2 - Tiền kiểm (Sơ loại): Cặp bài trùng kiểm tra tính hợp lệ sơ bộ theo Checklist trong vòng 24h. Nếu sai thiếu thì hướng dẫn sửa ngay; đạt chuẩn thì chuyển lên mảng.</w:t>
      </w:r>
    </w:p>
    <w:p>
      <w:pPr>
        <w:pStyle w:val="ListBullet"/>
        <w:spacing w:after="60" w:line="276" w:lineRule="auto"/>
      </w:pPr>
      <w:r>
        <w:rPr>
          <w:sz w:val="23"/>
        </w:rPr>
        <w:t>Bước 3 - Hậu kiểm &amp; Thẩm định: Mảng thẩm định chuyên môn sâu, đối chiếu dữ liệu; trình BCN rà soát lần cuối; nộp lên Văn phòng Đoàn Đại học để Ban Thường vụ ký ban hành.</w:t>
      </w:r>
    </w:p>
    <w:p>
      <w:pPr>
        <w:pStyle w:val="ListBullet"/>
        <w:spacing w:after="60" w:line="276" w:lineRule="auto"/>
      </w:pPr>
      <w:r>
        <w:rPr>
          <w:sz w:val="23"/>
        </w:rPr>
        <w:t>Bước 4 - Trả kết quả &amp; Số hóa: Nhận văn bản đã ký duyệt, bàn giao ngay file scan/bản cứng cho đơn vị; cập nhật 100% dữ liệu lên phần mềm QLDV và bảng theo dõi số của Ban.</w:t>
      </w:r>
    </w:p>
    <w:p>
      <w:pPr>
        <w:keepNext/>
        <w:spacing w:before="280" w:after="80"/>
      </w:pPr>
      <w:r>
        <w:rPr>
          <w:b/>
          <w:color w:val="1E3A8A"/>
          <w:sz w:val="28"/>
        </w:rPr>
        <w:t>VIII. QUY CHUẨN TRỰC VÀ ĐIỀU HÀNH HÒM THƯ OUTLOOK BAN</w:t>
      </w:r>
    </w:p>
    <w:p>
      <w:pPr>
        <w:pStyle w:val="ListBullet"/>
        <w:spacing w:after="60" w:line="276" w:lineRule="auto"/>
      </w:pPr>
      <w:r>
        <w:rPr>
          <w:sz w:val="23"/>
        </w:rPr>
        <w:t>Mảng Chuyển đổi số &amp; ĐRL phân công mỗi ngày 01 thành viên trực chính hòm thư Outlook với quy chuẩn gắn thẻ 4 màu:</w:t>
      </w:r>
    </w:p>
    <w:p>
      <w:pPr>
        <w:pStyle w:val="ListBullet"/>
        <w:spacing w:after="60" w:line="276" w:lineRule="auto"/>
      </w:pPr>
      <w:r>
        <w:rPr>
          <w:sz w:val="23"/>
        </w:rPr>
        <w:t>Thẻ Đỏ (Khẩn): Công văn hỏa tốc, giấy mời họp gấp từ Đoàn cấp trên -&gt; Báo ngay Ban Chủ nhiệm trong vòng 02h.</w:t>
      </w:r>
    </w:p>
    <w:p>
      <w:pPr>
        <w:pStyle w:val="ListBullet"/>
        <w:spacing w:after="60" w:line="276" w:lineRule="auto"/>
      </w:pPr>
      <w:r>
        <w:rPr>
          <w:sz w:val="23"/>
        </w:rPr>
        <w:t>Thẻ Vàng (Chờ xử lý): Hồ sơ, tờ trình của các đơn vị gửi đến -&gt; Chuyển tiếp bộ phận chuyên môn tương ứng.</w:t>
      </w:r>
    </w:p>
    <w:p>
      <w:pPr>
        <w:pStyle w:val="ListBullet"/>
        <w:spacing w:after="60" w:line="276" w:lineRule="auto"/>
      </w:pPr>
      <w:r>
        <w:rPr>
          <w:sz w:val="23"/>
        </w:rPr>
        <w:t>Thẻ Xanh dương (Khiếu nại ĐRL): Bộ phận chuyên trách ĐRL trong mảng trực tiếp đối soát minh chứng, soạn thảo email phản hồi dứt điểm trong 48h (tinh gọn, không chuyển qua mảng khác).</w:t>
      </w:r>
    </w:p>
    <w:p>
      <w:pPr>
        <w:pStyle w:val="ListBullet"/>
        <w:spacing w:after="60" w:line="276" w:lineRule="auto"/>
      </w:pPr>
      <w:r>
        <w:rPr>
          <w:sz w:val="23"/>
        </w:rPr>
        <w:t>Thẻ Xanh lá (Đã xử lý): Email đã hoàn thành phản hồi dứt điểm cho người gửi. Đóng luồng và lưu trữ văn thư số.</w:t>
      </w:r>
    </w:p>
    <w:p>
      <w:pPr>
        <w:keepNext/>
        <w:spacing w:before="280" w:after="80"/>
      </w:pPr>
      <w:r>
        <w:rPr>
          <w:b/>
          <w:color w:val="1E3A8A"/>
          <w:sz w:val="28"/>
        </w:rPr>
        <w:t>IX. YÊU CẦU CHUYÊN MÔN CƠ BẢN TOÀN BAN (ALL-HANDS TRAINING)</w:t>
      </w:r>
    </w:p>
    <w:p>
      <w:pPr>
        <w:pStyle w:val="ListBullet"/>
        <w:spacing w:after="60" w:line="276" w:lineRule="auto"/>
      </w:pPr>
      <w:r>
        <w:rPr>
          <w:sz w:val="23"/>
        </w:rPr>
        <w:t>Toàn bộ 64 thành viên các mảng đều phải hoàn thành chương trình tập huấn cơ bản trong tháng đầu tiên:</w:t>
      </w:r>
    </w:p>
    <w:p>
      <w:pPr>
        <w:pStyle w:val="ListBullet"/>
        <w:spacing w:after="60" w:line="276" w:lineRule="auto"/>
      </w:pPr>
      <w:r>
        <w:rPr>
          <w:sz w:val="23"/>
        </w:rPr>
        <w:t>1. Quy tắc đóng dấu &amp; Sổ Đoàn: Vị trí đóng dấu giáp lai ảnh thẻ Đoàn, dấu treo công văn, dấu xác nhận chuyển sinh hoạt Đoàn đúng quy định Điều lệ Đoàn.</w:t>
      </w:r>
    </w:p>
    <w:p>
      <w:pPr>
        <w:pStyle w:val="ListBullet"/>
        <w:spacing w:after="60" w:line="276" w:lineRule="auto"/>
      </w:pPr>
      <w:r>
        <w:rPr>
          <w:sz w:val="23"/>
        </w:rPr>
        <w:t>2. Thể thức văn bản Đoàn: Soạn thảo đúng thể thức theo Nghị định 30/2020/NĐ-CP và Hướng dẫn của Trung ương Đoàn.</w:t>
      </w:r>
    </w:p>
    <w:p>
      <w:pPr>
        <w:pStyle w:val="ListBullet"/>
        <w:spacing w:after="60" w:line="276" w:lineRule="auto"/>
      </w:pPr>
      <w:r>
        <w:rPr>
          <w:sz w:val="23"/>
        </w:rPr>
        <w:t>3. Kỹ năng kiểm tra giấy tờ: Kỹ năng phát hiện lỗi sai trong biên bản kiểm phiếu, biên bản bầu cử, danh sách trích ngang kiện toàn BCH cơ sở.</w:t>
      </w:r>
    </w:p>
    <w:p>
      <w:pPr>
        <w:keepNext/>
        <w:spacing w:before="280" w:after="80"/>
      </w:pPr>
      <w:r>
        <w:rPr>
          <w:b/>
          <w:color w:val="1E3A8A"/>
          <w:sz w:val="28"/>
        </w:rPr>
        <w:t>X. HỆ THỐNG THEO DÕI VÀ ĐÁNH GIÁ HIỆU QUẢ HOẠT ĐỘNG THÀNH VIÊN (KPI)</w:t>
      </w:r>
    </w:p>
    <w:p>
      <w:pPr>
        <w:keepNext/>
        <w:spacing w:before="200" w:after="60"/>
      </w:pPr>
      <w:r>
        <w:rPr>
          <w:b/>
          <w:color w:val="0F172A"/>
          <w:sz w:val="25"/>
        </w:rPr>
        <w:t>1. Bảng 4 Tiêu chí Điểm Chuẩn (Thang điểm 100)</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shd w:fill="#1E3A8A"/>
          </w:tcPr>
          <w:p>
            <w:pPr>
              <w:jc w:val="center"/>
            </w:pPr>
            <w:r>
              <w:t>Nhóm Tiêu Chí</w:t>
            </w:r>
          </w:p>
        </w:tc>
        <w:tc>
          <w:tcPr>
            <w:tcW w:type="dxa" w:w="3120"/>
            <w:shd w:fill="#1E3A8A"/>
          </w:tcPr>
          <w:p>
            <w:pPr>
              <w:jc w:val="center"/>
            </w:pPr>
            <w:r>
              <w:t>Điểm Tối Đa</w:t>
            </w:r>
          </w:p>
        </w:tc>
        <w:tc>
          <w:tcPr>
            <w:tcW w:type="dxa" w:w="3120"/>
            <w:shd w:fill="#1E3A8A"/>
          </w:tcPr>
          <w:p>
            <w:pPr>
              <w:jc w:val="center"/>
            </w:pPr>
            <w:r>
              <w:t>Tiêu chí chi tiết &amp; Cách tính điểm chuẩn</w:t>
            </w:r>
          </w:p>
        </w:tc>
      </w:tr>
      <w:tr>
        <w:trPr>
          <w:cantSplit/>
        </w:trPr>
        <w:tc>
          <w:tcPr>
            <w:tcW w:type="dxa" w:w="3120"/>
            <w:shd w:fill="#F8FAFC"/>
          </w:tcPr>
          <w:p>
            <w:r>
              <w:t>1. CHẤT LƯỢNG CHUYÊN MÔN MẢNG</w:t>
            </w:r>
          </w:p>
        </w:tc>
        <w:tc>
          <w:tcPr>
            <w:tcW w:type="dxa" w:w="3120"/>
            <w:shd w:fill="#F8FAFC"/>
          </w:tcPr>
          <w:p>
            <w:r>
              <w:t>40 điểm</w:t>
            </w:r>
          </w:p>
        </w:tc>
        <w:tc>
          <w:tcPr>
            <w:tcW w:type="dxa" w:w="3120"/>
            <w:shd w:fill="#F8FAFC"/>
          </w:tcPr>
          <w:p>
            <w:r>
              <w:t>• Mức độ hoàn thành khối lượng việc mảng giao (20đ)</w:t>
              <w:br/>
              <w:t>• Tính chuẩn xác của hồ sơ sau tiền kiểm/thẩm định (10đ)</w:t>
              <w:br/>
              <w:t>• Đảm bảo đúng thời hạn quy định (Deadline/SLA mảng) (10đ)</w:t>
            </w:r>
          </w:p>
        </w:tc>
      </w:tr>
      <w:tr>
        <w:trPr>
          <w:cantSplit/>
        </w:trPr>
        <w:tc>
          <w:tcPr>
            <w:tcW w:type="dxa" w:w="3120"/>
            <w:shd w:fill="#FFFFFF"/>
          </w:tcPr>
          <w:p>
            <w:r>
              <w:t>2. TÁC NGHIỆP ĐỊA BÀN &amp; BỌC LÓT</w:t>
            </w:r>
          </w:p>
        </w:tc>
        <w:tc>
          <w:tcPr>
            <w:tcW w:type="dxa" w:w="3120"/>
            <w:shd w:fill="#FFFFFF"/>
          </w:tcPr>
          <w:p>
            <w:r>
              <w:t>30 điểm</w:t>
            </w:r>
          </w:p>
        </w:tc>
        <w:tc>
          <w:tcPr>
            <w:tcW w:type="dxa" w:w="3120"/>
            <w:shd w:fill="#FFFFFF"/>
          </w:tcPr>
          <w:p>
            <w:r>
              <w:t>• Tốc độ phản hồi cơ sở trong nhóm tác nghiệp (&lt;02h) (10đ)</w:t>
              <w:br/>
              <w:t>• Tinh thần chủ động bọc lót khi bạn trong cặp bài trùng bận thi (10đ)</w:t>
              <w:br/>
              <w:t>• Không để cơ sở phản ánh về thái độ hay chậm trễ hồ sơ (10đ)</w:t>
            </w:r>
          </w:p>
        </w:tc>
      </w:tr>
      <w:tr>
        <w:trPr>
          <w:cantSplit/>
        </w:trPr>
        <w:tc>
          <w:tcPr>
            <w:tcW w:type="dxa" w:w="3120"/>
            <w:shd w:fill="#F8FAFC"/>
          </w:tcPr>
          <w:p>
            <w:r>
              <w:t>3. KỶ LUẬT &amp; VĂN HÓA BAN</w:t>
            </w:r>
          </w:p>
        </w:tc>
        <w:tc>
          <w:tcPr>
            <w:tcW w:type="dxa" w:w="3120"/>
            <w:shd w:fill="#F8FAFC"/>
          </w:tcPr>
          <w:p>
            <w:r>
              <w:t>20 điểm</w:t>
            </w:r>
          </w:p>
        </w:tc>
        <w:tc>
          <w:tcPr>
            <w:tcW w:type="dxa" w:w="3120"/>
            <w:shd w:fill="#F8FAFC"/>
          </w:tcPr>
          <w:p>
            <w:r>
              <w:t>• Tham gia họp Ban đầy đủ, đúng giờ (vắng có phép -2đ, không phép -5đ) (10đ)</w:t>
              <w:br/>
              <w:t>• Hoàn thành ca trực (Trực mail Outlook / Trực con dấu) (10đ)</w:t>
            </w:r>
          </w:p>
        </w:tc>
      </w:tr>
      <w:tr>
        <w:trPr>
          <w:cantSplit/>
        </w:trPr>
        <w:tc>
          <w:tcPr>
            <w:tcW w:type="dxa" w:w="3120"/>
            <w:shd w:fill="#FFFFFF"/>
          </w:tcPr>
          <w:p>
            <w:r>
              <w:t>4. ĐIỂM THƯỞNG &amp; ĐÓNG GÓP CỘNG</w:t>
            </w:r>
          </w:p>
        </w:tc>
        <w:tc>
          <w:tcPr>
            <w:tcW w:type="dxa" w:w="3120"/>
            <w:shd w:fill="#FFFFFF"/>
          </w:tcPr>
          <w:p>
            <w:r>
              <w:t>10 điểm</w:t>
            </w:r>
          </w:p>
        </w:tc>
        <w:tc>
          <w:tcPr>
            <w:tcW w:type="dxa" w:w="3120"/>
            <w:shd w:fill="#FFFFFF"/>
          </w:tcPr>
          <w:p>
            <w:r>
              <w:t>• Có sáng kiến cải tiến biểu mẫu, công cụ số hóa (5đ)</w:t>
              <w:br/>
              <w:t>• Tích cực hỗ trợ chi viện đột xuất cho mảng khác khi có chiến dịch lớn (5đ)</w:t>
            </w:r>
          </w:p>
        </w:tc>
      </w:tr>
      <w:tr>
        <w:trPr>
          <w:cantSplit/>
        </w:trPr>
        <w:tc>
          <w:tcPr>
            <w:tcW w:type="dxa" w:w="3120"/>
            <w:shd w:fill="#F8FAFC"/>
          </w:tcPr>
          <w:p>
            <w:r>
              <w:t>TỔNG ĐIỂM TỐI ĐA</w:t>
            </w:r>
          </w:p>
        </w:tc>
        <w:tc>
          <w:tcPr>
            <w:tcW w:type="dxa" w:w="3120"/>
            <w:shd w:fill="#F8FAFC"/>
          </w:tcPr>
          <w:p>
            <w:r>
              <w:t>100 điểm</w:t>
            </w:r>
          </w:p>
        </w:tc>
        <w:tc>
          <w:tcPr>
            <w:tcW w:type="dxa" w:w="3120"/>
            <w:shd w:fill="#F8FAFC"/>
          </w:tcPr>
          <w:p>
            <w:r>
              <w:t>Thang điểm chuẩn đánh giá toàn diện năng lực và tinh thần trách nhiệm</w:t>
            </w:r>
          </w:p>
        </w:tc>
      </w:tr>
    </w:tbl>
    <w:p>
      <w:pPr>
        <w:keepNext/>
        <w:spacing w:before="200" w:after="60"/>
      </w:pPr>
      <w:r>
        <w:rPr>
          <w:b/>
          <w:color w:val="0F172A"/>
          <w:sz w:val="25"/>
        </w:rPr>
        <w:t>2. Khung Xếp Loại Thành Viên Cuối Kỳ</w:t>
      </w:r>
    </w:p>
    <w:p>
      <w:pPr>
        <w:pStyle w:val="ListBullet"/>
        <w:spacing w:after="60" w:line="276" w:lineRule="auto"/>
      </w:pPr>
      <w:r>
        <w:rPr>
          <w:sz w:val="23"/>
        </w:rPr>
        <w:t>Loại A (≥90 điểm) - Hoàn thành Xuất sắc: Gương mẫu, chuyên môn vững, phản hồi nhanh, bọc lót tích cực. Ưu tiên đề xuất Giấy khen Đoàn trường, tối đa ĐRL cán bộ Đoàn, ưu tiên xét chọn học lớp Cảm tình Đảng / ĐVƯT và quy hoạch nguồn cán bộ kế cận.</w:t>
      </w:r>
    </w:p>
    <w:p>
      <w:pPr>
        <w:pStyle w:val="ListBullet"/>
        <w:spacing w:after="60" w:line="276" w:lineRule="auto"/>
      </w:pPr>
      <w:r>
        <w:rPr>
          <w:sz w:val="23"/>
        </w:rPr>
        <w:t>Loại B (75 - 89 điểm) - Hoàn thành Tốt: Đạt đầy đủ nhiệm vụ chuyên môn và tác nghiệp, kỷ luật tốt; tính ĐRL cán bộ Đoàn theo quy chế.</w:t>
      </w:r>
    </w:p>
    <w:p>
      <w:pPr>
        <w:pStyle w:val="ListBullet"/>
        <w:spacing w:after="60" w:line="276" w:lineRule="auto"/>
      </w:pPr>
      <w:r>
        <w:rPr>
          <w:sz w:val="23"/>
        </w:rPr>
        <w:t>Loại C (60 - 74 điểm) - Hoàn thành: Có biểu hiện chậm tiến độ, sót việc hoặc vắng họp/trực ca. Trưởng mảng trực tiếp nhắc nhở và phân công kèm cặp.</w:t>
      </w:r>
    </w:p>
    <w:p>
      <w:pPr>
        <w:pStyle w:val="ListBullet"/>
        <w:spacing w:after="60" w:line="276" w:lineRule="auto"/>
      </w:pPr>
      <w:r>
        <w:rPr>
          <w:sz w:val="23"/>
        </w:rPr>
        <w:t>Loại D (&lt;60 điểm) - Không hoàn thành: Vi phạm kỷ luật, bỏ bê đơn vị phụ trách, bị cơ sở khiếu nại nhiều lần. Đưa ra khỏi nguồn tác nghiệp và xem xét cho thôi tham gia Ban TCKT.</w:t>
      </w:r>
    </w:p>
    <w:sectPr w:rsidR="00FC693F" w:rsidRPr="0006063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