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08"/>
        <w:gridCol w:w="4752"/>
      </w:tblGrid>
      <w:tr>
        <w:tc>
          <w:tcPr>
            <w:tcW w:type="dxa" w:w="4701"/>
          </w:tcPr>
          <w:p>
            <w:pPr>
              <w:spacing w:after="40"/>
              <w:jc w:val="center"/>
            </w:pPr>
            <w:r>
              <w:rPr>
                <w:rFonts w:ascii="Times New Roman" w:hAnsi="Times New Roman"/>
                <w:sz w:val="21"/>
              </w:rPr>
              <w:t>ĐOÀN TNCS HỒ CHÍ MINH ĐHQG-HN</w:t>
              <w:br/>
              <w:t>ĐẠI HỌC BÁCH KHOA HÀ NỘI</w:t>
              <w:br/>
            </w:r>
            <w:r>
              <w:rPr>
                <w:rFonts w:ascii="Times New Roman" w:hAnsi="Times New Roman"/>
                <w:b/>
                <w:sz w:val="22"/>
              </w:rPr>
              <w:t>BAN TỔ CHỨC - KIỂM TRA</w:t>
            </w:r>
          </w:p>
          <w:p>
            <w:pPr>
              <w:spacing w:after="0"/>
              <w:jc w:val="center"/>
            </w:pPr>
            <w:r>
              <w:rPr>
                <w:rFonts w:ascii="Times New Roman" w:hAnsi="Times New Roman"/>
                <w:i/>
                <w:sz w:val="22"/>
              </w:rPr>
              <w:t>Số: 09-BC/ĐĐHBK-TCKT</w:t>
              <w:br/>
              <w:t>***</w:t>
            </w:r>
          </w:p>
        </w:tc>
        <w:tc>
          <w:tcPr>
            <w:tcW w:type="dxa" w:w="4701"/>
          </w:tcPr>
          <w:p>
            <w:pPr>
              <w:spacing w:after="40"/>
              <w:jc w:val="center"/>
            </w:pPr>
            <w:r>
              <w:rPr>
                <w:rFonts w:ascii="Times New Roman" w:hAnsi="Times New Roman"/>
                <w:b/>
                <w:sz w:val="22"/>
              </w:rPr>
              <w:t>ĐOÀN TNCS HỒ CHÍ MINH</w:t>
              <w:br/>
            </w:r>
            <w:r>
              <w:rPr>
                <w:rFonts w:ascii="Times New Roman" w:hAnsi="Times New Roman"/>
                <w:i/>
                <w:sz w:val="22"/>
              </w:rPr>
              <w:t>Hà Nội, ngày 06 tháng 9 năm 2026</w:t>
            </w:r>
          </w:p>
        </w:tc>
      </w:tr>
    </w:tbl>
    <w:p>
      <w:pPr>
        <w:spacing w:before="400" w:after="80"/>
        <w:jc w:val="center"/>
      </w:pPr>
      <w:r>
        <w:rPr>
          <w:rFonts w:ascii="Times New Roman" w:hAnsi="Times New Roman"/>
          <w:b/>
          <w:color w:val="005BAC"/>
          <w:sz w:val="30"/>
        </w:rPr>
        <w:t>BÁO CÁO CHUYÊN ĐỀ</w:t>
        <w:br/>
      </w:r>
      <w:r>
        <w:rPr>
          <w:rFonts w:ascii="Times New Roman" w:hAnsi="Times New Roman"/>
          <w:b/>
          <w:color w:val="0F172A"/>
          <w:sz w:val="28"/>
        </w:rPr>
        <w:t>THẨM ĐỊNH TÍNH KHẢ THI, PHÂN TÍCH ĐIỂM NGHẼN VẬN HÀNH THỰC TẾ</w:t>
        <w:br/>
        <w:t>VÀ HỆ THỐNG GIẢI PHÁP TRIỂN KHAI ĐỀ ÁN TÁI CẤU TRÚC</w:t>
        <w:br/>
        <w:t>BAN TỔ CHỨC - KIỂM TRA ĐOÀN ĐẠI HỌC</w:t>
      </w:r>
    </w:p>
    <w:p>
      <w:pPr>
        <w:spacing w:before="160" w:after="320"/>
        <w:jc w:val="center"/>
      </w:pPr>
      <w:r>
        <w:rPr>
          <w:b/>
          <w:i/>
        </w:rPr>
        <w:t xml:space="preserve">Kính gửi: </w:t>
      </w:r>
      <w:r>
        <w:t>Ban Thường vụ Đoàn Đại học Bách khoa Hà Nội</w:t>
        <w:br/>
      </w:r>
      <w:r>
        <w:rPr>
          <w:i/>
        </w:rPr>
        <w:t xml:space="preserve">Đồng kính gửi: </w:t>
      </w:r>
      <w:r>
        <w:t>Tập thể Lãnh đạo Ban và Ban Chủ nhiệm các Mảng trực thuộc</w:t>
      </w:r>
    </w:p>
    <w:p>
      <w:pPr>
        <w:spacing w:after="160" w:line="300" w:lineRule="auto"/>
        <w:ind w:firstLine="562"/>
      </w:pPr>
      <w:r>
        <w:t>Thực hiện chủ trương của Ban Thường vụ Đoàn Đại học về việc rà soát, kiện toàn tổ chức bộ máy và chuẩn hóa quy trình tác nghiệp trong công tác Đoàn và phong trào thanh niên giai đoạn 2026 - 2028; trên cơ sở bản thảo Đề án Tái cấu trúc Ban Tổ chức - Kiểm tra (TCKT) với quy mô đề xuất 67 nhân sự, 04 mảng chuyên môn và mạng lưới 12 tổ đầu mối liên mảng, Ban Tổ chức - Kiểm tra tiến hành báo cáo thẩm định chuyên sâu về tính khả thi, phân tích thẳng thắn các vướng mắc, điểm nghẽn sẽ gặp phải khi đưa mô hình vào vận hành thực tế tại Đại học Bách khoa Hà Nội, đồng thời đề xuất hệ thống 05 giải pháp và các van an toàn vận hành mang tính quyết định.</w:t>
      </w:r>
    </w:p>
    <w:p>
      <w:pPr>
        <w:spacing w:before="280" w:after="80"/>
      </w:pPr>
      <w:r>
        <w:rPr>
          <w:b/>
          <w:color w:val="005BAC"/>
          <w:sz w:val="27"/>
        </w:rPr>
        <w:t>PHẦN I. ĐÁNH GIÁ TỔNG QUAN: PHƯƠNG ÁN TÁI CẤU TRÚC ĐÃ ỔN CHƯA?</w:t>
      </w:r>
    </w:p>
    <w:p>
      <w:pPr>
        <w:spacing w:after="120" w:line="300" w:lineRule="auto"/>
        <w:ind w:firstLine="562"/>
      </w:pPr>
      <w:r>
        <w:t>Qua đối chiếu với Điều lệ Đoàn, Quy chế làm việc của BCH Đoàn Đại học và thực tiễn hoạt động phong trào, phương án tái cấu trúc được đánh giá đạt mức độ hoàn thiện rất cao về mặt thiết kế thể chế và tư duy quản trị, cụ thể:</w:t>
      </w:r>
    </w:p>
    <w:p>
      <w:pPr>
        <w:pStyle w:val="ListBullet"/>
        <w:spacing w:after="60" w:line="288" w:lineRule="auto"/>
      </w:pPr>
      <w:r>
        <w:rPr>
          <w:b/>
        </w:rPr>
        <w:t xml:space="preserve">Tính chuẩn xác về mặt thể chế và thẩm quyền: </w:t>
      </w:r>
      <w:r>
        <w:t>Đề án đã giải quyết triệt để rủi ro lớn nhất trong công tác tham mưu khi khẳng định dứt khoát: Ban TCKT là bộ phận tham mưu, giúp việc của Đoàn Đại học, không phải một cấp tổ chức trung gian; không tự đặt thêm tiêu chuẩn chính trị hay điều kiện kết nạp Đảng ngoài hướng dẫn của Đảng ủy; không tự khắc con dấu riêng; các quyết định chuẩn y nhân sự, công nhận tổ chức đều phải trình Ban Thường vụ ban hành theo đúng thẩm quyền.</w:t>
      </w:r>
    </w:p>
    <w:p>
      <w:pPr>
        <w:pStyle w:val="ListBullet"/>
        <w:spacing w:after="60" w:line="288" w:lineRule="auto"/>
      </w:pPr>
      <w:r>
        <w:rPr>
          <w:b/>
        </w:rPr>
        <w:t xml:space="preserve">Tư duy quản trị hiện đại, chuyên nghiệp hóa: </w:t>
      </w:r>
      <w:r>
        <w:t>Đề án tiếp cận theo chuẩn quản trị dự án và hành chính công vụ tiên tiến: áp dụng ma trận phân công trách nhiệm RACI cho 11 nhóm công việc; chuẩn hóa quy trình SOP 04 bước với cam kết thời hạn nội bộ (SLA); cấp 01 mã định danh công việc xuyên suốt để theo dõi; xây dựng thang đánh giá định lượng 100 điểm KPI nhằm lượng hóa đóng góp thực chất của cán bộ, đoàn viên.</w:t>
      </w:r>
    </w:p>
    <w:p>
      <w:pPr>
        <w:pStyle w:val="ListBullet"/>
        <w:spacing w:after="120" w:line="288" w:lineRule="auto"/>
      </w:pPr>
      <w:r>
        <w:rPr>
          <w:b/>
        </w:rPr>
        <w:t xml:space="preserve">Cơ cấu 04 Mảng chuyên môn rành mạch: </w:t>
      </w:r>
      <w:r>
        <w:t>Việc phân định thành 04 Mảng chuyên môn (M1. Tổ chức - Đoàn vụ; M2. Đảng vụ - Chuyển đổi số; M3. Kiểm tra - Điểm rèn luyện; M4. Truyền thông - Sự kiện và Phát triển nội bộ) là sự điều chỉnh phù hợp với thực tế, khắc phục được tình trạng ôm đồm công việc, đồng thời gắn trách nhiệm kiểm tra, giám sát thực chất vào khâu duyệt đề án và hậu kiểm Điểm rèn luyện (ĐRL).</w:t>
      </w:r>
    </w:p>
    <w:p>
      <w:pPr>
        <w:spacing w:after="160" w:line="300" w:lineRule="auto"/>
        <w:ind w:firstLine="562"/>
      </w:pPr>
      <w:r>
        <w:rPr>
          <w:b/>
        </w:rPr>
        <w:t xml:space="preserve">ĐÁNH GIÁ CHUNG: </w:t>
      </w:r>
      <w:r>
        <w:t>Về mặt văn bản, thể chế và logic quản trị, Đề án đạt độ hoàn thiện 9/10 điểm. Tuy nhiên, khoảng cách từ một bản đề án chuẩn mực trên giấy đến thực tiễn vận hành hàng ngày của sinh viên Bách khoa là rất lớn. Nếu áp dụng nguyên xi các quy định cơ học mà không lường trước các đặc thù về lịch học tập, áp lực thi cử và tâm lý sinh viên, mô hình sẽ gặp lực cản rất lớn và có nguy cơ vỡ trận cục bộ.</w:t>
      </w:r>
    </w:p>
    <w:p>
      <w:pPr>
        <w:spacing w:before="280" w:after="80"/>
      </w:pPr>
      <w:r>
        <w:rPr>
          <w:b/>
          <w:color w:val="005BAC"/>
          <w:sz w:val="27"/>
        </w:rPr>
        <w:t>PHẦN II. PHÂN TÍCH TÍNH KHẢ THI THEO TỪNG CẤU PHẦN ĐỀ ÁN</w:t>
      </w:r>
    </w:p>
    <w:p>
      <w:pPr>
        <w:spacing w:after="120" w:line="300" w:lineRule="auto"/>
        <w:ind w:firstLine="562"/>
      </w:pPr>
      <w:r>
        <w:t>Bảng ma trận dưới đây phân tích mức độ khả thi thực tế của từng cấu phần cấu trúc trong Đề án, chỉ rõ các rủi ro vận hành tiềm ẩn để Ban Thường vụ và Ban Lãnh đạo xem xét chỉ đạo:</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51"/>
        <w:gridCol w:w="2351"/>
        <w:gridCol w:w="2351"/>
        <w:gridCol w:w="2351"/>
      </w:tblGrid>
      <w:tr>
        <w:tc>
          <w:tcPr>
            <w:tcW w:type="dxa" w:w="2160"/>
            <w:shd w:fill="00458C"/>
            <w:tcMar>
              <w:top w:w="120" w:type="dxa"/>
              <w:bottom w:w="120" w:type="dxa"/>
              <w:left w:w="100" w:type="dxa"/>
              <w:right w:w="100" w:type="dxa"/>
            </w:tcMar>
          </w:tcPr>
          <w:p>
            <w:pPr>
              <w:jc w:val="center"/>
            </w:pPr>
            <w:r>
              <w:rPr>
                <w:rFonts w:ascii="Times New Roman" w:hAnsi="Times New Roman"/>
                <w:b/>
                <w:color w:val="FFFFFF"/>
                <w:sz w:val="22"/>
              </w:rPr>
              <w:t>Cấu phần Đề án</w:t>
            </w:r>
          </w:p>
        </w:tc>
        <w:tc>
          <w:tcPr>
            <w:tcW w:type="dxa" w:w="1440"/>
            <w:shd w:fill="00458C"/>
            <w:tcMar>
              <w:top w:w="120" w:type="dxa"/>
              <w:bottom w:w="120" w:type="dxa"/>
              <w:left w:w="100" w:type="dxa"/>
              <w:right w:w="100" w:type="dxa"/>
            </w:tcMar>
          </w:tcPr>
          <w:p>
            <w:pPr>
              <w:jc w:val="center"/>
            </w:pPr>
            <w:r>
              <w:rPr>
                <w:rFonts w:ascii="Times New Roman" w:hAnsi="Times New Roman"/>
                <w:b/>
                <w:color w:val="FFFFFF"/>
                <w:sz w:val="22"/>
              </w:rPr>
              <w:t>Mức độ Khả thi</w:t>
            </w:r>
          </w:p>
        </w:tc>
        <w:tc>
          <w:tcPr>
            <w:tcW w:type="dxa" w:w="3168"/>
            <w:shd w:fill="00458C"/>
            <w:tcMar>
              <w:top w:w="120" w:type="dxa"/>
              <w:bottom w:w="120" w:type="dxa"/>
              <w:left w:w="100" w:type="dxa"/>
              <w:right w:w="100" w:type="dxa"/>
            </w:tcMar>
          </w:tcPr>
          <w:p>
            <w:pPr>
              <w:jc w:val="center"/>
            </w:pPr>
            <w:r>
              <w:rPr>
                <w:rFonts w:ascii="Times New Roman" w:hAnsi="Times New Roman"/>
                <w:b/>
                <w:color w:val="FFFFFF"/>
                <w:sz w:val="22"/>
              </w:rPr>
              <w:t>Điểm mạnh thực tế</w:t>
            </w:r>
          </w:p>
        </w:tc>
        <w:tc>
          <w:tcPr>
            <w:tcW w:type="dxa" w:w="2592"/>
            <w:shd w:fill="00458C"/>
            <w:tcMar>
              <w:top w:w="120" w:type="dxa"/>
              <w:bottom w:w="120" w:type="dxa"/>
              <w:left w:w="100" w:type="dxa"/>
              <w:right w:w="100" w:type="dxa"/>
            </w:tcMar>
          </w:tcPr>
          <w:p>
            <w:pPr>
              <w:jc w:val="center"/>
            </w:pPr>
            <w:r>
              <w:rPr>
                <w:rFonts w:ascii="Times New Roman" w:hAnsi="Times New Roman"/>
                <w:b/>
                <w:color w:val="FFFFFF"/>
                <w:sz w:val="22"/>
              </w:rPr>
              <w:t>Rủi ro / Thách thức cốt lõi</w:t>
            </w:r>
          </w:p>
        </w:tc>
      </w:tr>
      <w:tr>
        <w:tc>
          <w:tcPr>
            <w:tcW w:type="dxa" w:w="2160"/>
            <w:shd w:fill="F8FAFC"/>
            <w:tcMar>
              <w:top w:w="100" w:type="dxa"/>
              <w:bottom w:w="100" w:type="dxa"/>
              <w:left w:w="100" w:type="dxa"/>
              <w:right w:w="100" w:type="dxa"/>
            </w:tcMar>
          </w:tcPr>
          <w:p>
            <w:pPr>
              <w:spacing w:line="276" w:lineRule="auto"/>
              <w:jc w:val="left"/>
            </w:pPr>
            <w:r>
              <w:rPr>
                <w:rFonts w:ascii="Times New Roman" w:hAnsi="Times New Roman"/>
                <w:sz w:val="21"/>
              </w:rPr>
              <w:t>1. Cơ cấu 04 Mảng chuyên môn</w:t>
            </w:r>
          </w:p>
        </w:tc>
        <w:tc>
          <w:tcPr>
            <w:tcW w:type="dxa" w:w="1440"/>
            <w:shd w:fill="F8FAFC"/>
            <w:tcMar>
              <w:top w:w="100" w:type="dxa"/>
              <w:bottom w:w="100" w:type="dxa"/>
              <w:left w:w="100" w:type="dxa"/>
              <w:right w:w="100" w:type="dxa"/>
            </w:tcMar>
          </w:tcPr>
          <w:p>
            <w:pPr>
              <w:spacing w:line="276" w:lineRule="auto"/>
              <w:jc w:val="center"/>
            </w:pPr>
            <w:r>
              <w:rPr>
                <w:rFonts w:ascii="Times New Roman" w:hAnsi="Times New Roman"/>
                <w:b/>
                <w:color w:val="10B981"/>
                <w:sz w:val="21"/>
              </w:rPr>
              <w:t>RẤT CAO</w:t>
              <w:br/>
              <w:t>(90%)</w:t>
            </w:r>
          </w:p>
        </w:tc>
        <w:tc>
          <w:tcPr>
            <w:tcW w:type="dxa" w:w="3168"/>
            <w:shd w:fill="F8FAFC"/>
            <w:tcMar>
              <w:top w:w="100" w:type="dxa"/>
              <w:bottom w:w="100" w:type="dxa"/>
              <w:left w:w="100" w:type="dxa"/>
              <w:right w:w="100" w:type="dxa"/>
            </w:tcMar>
          </w:tcPr>
          <w:p>
            <w:pPr>
              <w:spacing w:line="276" w:lineRule="auto"/>
              <w:jc w:val="left"/>
            </w:pPr>
            <w:r>
              <w:rPr>
                <w:rFonts w:ascii="Times New Roman" w:hAnsi="Times New Roman"/>
                <w:sz w:val="21"/>
              </w:rPr>
              <w:t>Phân định rõ ranh giới nghiệp vụ; tách bạch Đoàn vụ, Đảng vụ, ĐRL và Truyền thông.</w:t>
            </w:r>
          </w:p>
        </w:tc>
        <w:tc>
          <w:tcPr>
            <w:tcW w:type="dxa" w:w="2592"/>
            <w:shd w:fill="F8FAFC"/>
            <w:tcMar>
              <w:top w:w="100" w:type="dxa"/>
              <w:bottom w:w="100" w:type="dxa"/>
              <w:left w:w="100" w:type="dxa"/>
              <w:right w:w="100" w:type="dxa"/>
            </w:tcMar>
          </w:tcPr>
          <w:p>
            <w:pPr>
              <w:spacing w:line="276" w:lineRule="auto"/>
              <w:jc w:val="left"/>
            </w:pPr>
            <w:r>
              <w:rPr>
                <w:rFonts w:ascii="Times New Roman" w:hAnsi="Times New Roman"/>
                <w:sz w:val="21"/>
              </w:rPr>
              <w:t>Cần duy trì phối hợp liên mảng, tránh tạo thành 4 'ốc đảo' khép kín.</w:t>
            </w:r>
          </w:p>
        </w:tc>
      </w:tr>
      <w:tr>
        <w:tc>
          <w:tcPr>
            <w:tcW w:type="dxa" w:w="2160"/>
            <w:shd w:fill="FFFFFF"/>
            <w:tcMar>
              <w:top w:w="100" w:type="dxa"/>
              <w:bottom w:w="100" w:type="dxa"/>
              <w:left w:w="100" w:type="dxa"/>
              <w:right w:w="100" w:type="dxa"/>
            </w:tcMar>
          </w:tcPr>
          <w:p>
            <w:pPr>
              <w:spacing w:line="276" w:lineRule="auto"/>
              <w:jc w:val="left"/>
            </w:pPr>
            <w:r>
              <w:rPr>
                <w:rFonts w:ascii="Times New Roman" w:hAnsi="Times New Roman"/>
                <w:sz w:val="21"/>
              </w:rPr>
              <w:t>2. Phân cấp Ban Lãnh đạo &amp; Giao ban 7 người</w:t>
            </w:r>
          </w:p>
        </w:tc>
        <w:tc>
          <w:tcPr>
            <w:tcW w:type="dxa" w:w="1440"/>
            <w:shd w:fill="FFFFFF"/>
            <w:tcMar>
              <w:top w:w="100" w:type="dxa"/>
              <w:bottom w:w="100" w:type="dxa"/>
              <w:left w:w="100" w:type="dxa"/>
              <w:right w:w="100" w:type="dxa"/>
            </w:tcMar>
          </w:tcPr>
          <w:p>
            <w:pPr>
              <w:spacing w:line="276" w:lineRule="auto"/>
              <w:jc w:val="center"/>
            </w:pPr>
            <w:r>
              <w:rPr>
                <w:rFonts w:ascii="Times New Roman" w:hAnsi="Times New Roman"/>
                <w:b/>
                <w:color w:val="10B981"/>
                <w:sz w:val="21"/>
              </w:rPr>
              <w:t>RẤT CAO</w:t>
              <w:br/>
              <w:t>(95%)</w:t>
            </w:r>
          </w:p>
        </w:tc>
        <w:tc>
          <w:tcPr>
            <w:tcW w:type="dxa" w:w="3168"/>
            <w:shd w:fill="FFFFFF"/>
            <w:tcMar>
              <w:top w:w="100" w:type="dxa"/>
              <w:bottom w:w="100" w:type="dxa"/>
              <w:left w:w="100" w:type="dxa"/>
              <w:right w:w="100" w:type="dxa"/>
            </w:tcMar>
          </w:tcPr>
          <w:p>
            <w:pPr>
              <w:spacing w:line="276" w:lineRule="auto"/>
              <w:jc w:val="left"/>
            </w:pPr>
            <w:r>
              <w:rPr>
                <w:rFonts w:ascii="Times New Roman" w:hAnsi="Times New Roman"/>
                <w:sz w:val="21"/>
              </w:rPr>
              <w:t>01 Trưởng ban + 02 Phó ban (mỗi Phó ban phụ trách 2 mảng) + 04 Trưởng mảng; tinh gọn, dễ chỉ đạo.</w:t>
            </w:r>
          </w:p>
        </w:tc>
        <w:tc>
          <w:tcPr>
            <w:tcW w:type="dxa" w:w="2592"/>
            <w:shd w:fill="FFFFFF"/>
            <w:tcMar>
              <w:top w:w="100" w:type="dxa"/>
              <w:bottom w:w="100" w:type="dxa"/>
              <w:left w:w="100" w:type="dxa"/>
              <w:right w:w="100" w:type="dxa"/>
            </w:tcMar>
          </w:tcPr>
          <w:p>
            <w:pPr>
              <w:spacing w:line="276" w:lineRule="auto"/>
              <w:jc w:val="left"/>
            </w:pPr>
            <w:r>
              <w:rPr>
                <w:rFonts w:ascii="Times New Roman" w:hAnsi="Times New Roman"/>
                <w:sz w:val="21"/>
              </w:rPr>
              <w:t>Phải bảo đảm quyền quyết định chuyên môn của Trưởng mảng, tránh Phó ban can thiệp quá sâu.</w:t>
            </w:r>
          </w:p>
        </w:tc>
      </w:tr>
      <w:tr>
        <w:tc>
          <w:tcPr>
            <w:tcW w:type="dxa" w:w="2160"/>
            <w:shd w:fill="F8FAFC"/>
            <w:tcMar>
              <w:top w:w="100" w:type="dxa"/>
              <w:bottom w:w="100" w:type="dxa"/>
              <w:left w:w="100" w:type="dxa"/>
              <w:right w:w="100" w:type="dxa"/>
            </w:tcMar>
          </w:tcPr>
          <w:p>
            <w:pPr>
              <w:spacing w:line="276" w:lineRule="auto"/>
              <w:jc w:val="left"/>
            </w:pPr>
            <w:r>
              <w:rPr>
                <w:rFonts w:ascii="Times New Roman" w:hAnsi="Times New Roman"/>
                <w:sz w:val="21"/>
              </w:rPr>
              <w:t>3. Quy trình SOP 04 bước &amp; 1 Mã việc</w:t>
            </w:r>
          </w:p>
        </w:tc>
        <w:tc>
          <w:tcPr>
            <w:tcW w:type="dxa" w:w="1440"/>
            <w:shd w:fill="F8FAFC"/>
            <w:tcMar>
              <w:top w:w="100" w:type="dxa"/>
              <w:bottom w:w="100" w:type="dxa"/>
              <w:left w:w="100" w:type="dxa"/>
              <w:right w:w="100" w:type="dxa"/>
            </w:tcMar>
          </w:tcPr>
          <w:p>
            <w:pPr>
              <w:spacing w:line="276" w:lineRule="auto"/>
              <w:jc w:val="center"/>
            </w:pPr>
            <w:r>
              <w:rPr>
                <w:rFonts w:ascii="Times New Roman" w:hAnsi="Times New Roman"/>
                <w:b/>
                <w:color w:val="0284C7"/>
                <w:sz w:val="21"/>
              </w:rPr>
              <w:t>CAO</w:t>
              <w:br/>
              <w:t>(80%)</w:t>
            </w:r>
          </w:p>
        </w:tc>
        <w:tc>
          <w:tcPr>
            <w:tcW w:type="dxa" w:w="3168"/>
            <w:shd w:fill="F8FAFC"/>
            <w:tcMar>
              <w:top w:w="100" w:type="dxa"/>
              <w:bottom w:w="100" w:type="dxa"/>
              <w:left w:w="100" w:type="dxa"/>
              <w:right w:w="100" w:type="dxa"/>
            </w:tcMar>
          </w:tcPr>
          <w:p>
            <w:pPr>
              <w:spacing w:line="276" w:lineRule="auto"/>
              <w:jc w:val="left"/>
            </w:pPr>
            <w:r>
              <w:rPr>
                <w:rFonts w:ascii="Times New Roman" w:hAnsi="Times New Roman"/>
                <w:sz w:val="21"/>
              </w:rPr>
              <w:t>Chuẩn hóa tiếp nhận - hướng dẫn - thẩm định - trả kết quả; kiểm soát hồ sơ không thất lạc.</w:t>
            </w:r>
          </w:p>
        </w:tc>
        <w:tc>
          <w:tcPr>
            <w:tcW w:type="dxa" w:w="2592"/>
            <w:shd w:fill="F8FAFC"/>
            <w:tcMar>
              <w:top w:w="100" w:type="dxa"/>
              <w:bottom w:w="100" w:type="dxa"/>
              <w:left w:w="100" w:type="dxa"/>
              <w:right w:w="100" w:type="dxa"/>
            </w:tcMar>
          </w:tcPr>
          <w:p>
            <w:pPr>
              <w:spacing w:line="276" w:lineRule="auto"/>
              <w:jc w:val="left"/>
            </w:pPr>
            <w:r>
              <w:rPr>
                <w:rFonts w:ascii="Times New Roman" w:hAnsi="Times New Roman"/>
                <w:sz w:val="21"/>
              </w:rPr>
              <w:t>Phụ thuộc vào sự tiện lợi của công cụ số; nếu quá nhiều bước thủ công sinh viên sẽ bỏ qua.</w:t>
            </w:r>
          </w:p>
        </w:tc>
      </w:tr>
      <w:tr>
        <w:tc>
          <w:tcPr>
            <w:tcW w:type="dxa" w:w="2160"/>
            <w:shd w:fill="FFFFFF"/>
            <w:tcMar>
              <w:top w:w="100" w:type="dxa"/>
              <w:bottom w:w="100" w:type="dxa"/>
              <w:left w:w="100" w:type="dxa"/>
              <w:right w:w="100" w:type="dxa"/>
            </w:tcMar>
          </w:tcPr>
          <w:p>
            <w:pPr>
              <w:spacing w:line="276" w:lineRule="auto"/>
              <w:jc w:val="left"/>
            </w:pPr>
            <w:r>
              <w:rPr>
                <w:rFonts w:ascii="Times New Roman" w:hAnsi="Times New Roman"/>
                <w:sz w:val="21"/>
              </w:rPr>
              <w:t>4. Mạng lưới 12 Tổ đầu mối &amp; Buddy System</w:t>
            </w:r>
          </w:p>
        </w:tc>
        <w:tc>
          <w:tcPr>
            <w:tcW w:type="dxa" w:w="1440"/>
            <w:shd w:fill="FFFFFF"/>
            <w:tcMar>
              <w:top w:w="100" w:type="dxa"/>
              <w:bottom w:w="100" w:type="dxa"/>
              <w:left w:w="100" w:type="dxa"/>
              <w:right w:w="100" w:type="dxa"/>
            </w:tcMar>
          </w:tcPr>
          <w:p>
            <w:pPr>
              <w:spacing w:line="276" w:lineRule="auto"/>
              <w:jc w:val="center"/>
            </w:pPr>
            <w:r>
              <w:rPr>
                <w:rFonts w:ascii="Times New Roman" w:hAnsi="Times New Roman"/>
                <w:b/>
                <w:color w:val="D97706"/>
                <w:sz w:val="21"/>
              </w:rPr>
              <w:t>KHÁ</w:t>
              <w:br/>
              <w:t>(70%)</w:t>
            </w:r>
          </w:p>
        </w:tc>
        <w:tc>
          <w:tcPr>
            <w:tcW w:type="dxa" w:w="3168"/>
            <w:shd w:fill="FFFFFF"/>
            <w:tcMar>
              <w:top w:w="100" w:type="dxa"/>
              <w:bottom w:w="100" w:type="dxa"/>
              <w:left w:w="100" w:type="dxa"/>
              <w:right w:w="100" w:type="dxa"/>
            </w:tcMar>
          </w:tcPr>
          <w:p>
            <w:pPr>
              <w:spacing w:line="276" w:lineRule="auto"/>
              <w:jc w:val="left"/>
            </w:pPr>
            <w:r>
              <w:rPr>
                <w:rFonts w:ascii="Times New Roman" w:hAnsi="Times New Roman"/>
                <w:sz w:val="21"/>
              </w:rPr>
              <w:t>Mỗi đơn vị có 3 đại diện (M1, M2, M3), có cơ chế dự phòng chéo giữa các đơn vị lân cận.</w:t>
            </w:r>
          </w:p>
        </w:tc>
        <w:tc>
          <w:tcPr>
            <w:tcW w:type="dxa" w:w="2592"/>
            <w:shd w:fill="FFFFFF"/>
            <w:tcMar>
              <w:top w:w="100" w:type="dxa"/>
              <w:bottom w:w="100" w:type="dxa"/>
              <w:left w:w="100" w:type="dxa"/>
              <w:right w:w="100" w:type="dxa"/>
            </w:tcMar>
          </w:tcPr>
          <w:p>
            <w:pPr>
              <w:spacing w:line="276" w:lineRule="auto"/>
              <w:jc w:val="left"/>
            </w:pPr>
            <w:r>
              <w:rPr>
                <w:rFonts w:ascii="Times New Roman" w:hAnsi="Times New Roman"/>
                <w:sz w:val="21"/>
              </w:rPr>
              <w:t>Vào mùa thi cử, nguy cơ cả 2 bạn trong cặp Buddy đều bận thi, đứt gãy liên lạc với cơ sở.</w:t>
            </w:r>
          </w:p>
        </w:tc>
      </w:tr>
      <w:tr>
        <w:tc>
          <w:tcPr>
            <w:tcW w:type="dxa" w:w="2160"/>
            <w:shd w:fill="F8FAFC"/>
            <w:tcMar>
              <w:top w:w="100" w:type="dxa"/>
              <w:bottom w:w="100" w:type="dxa"/>
              <w:left w:w="100" w:type="dxa"/>
              <w:right w:w="100" w:type="dxa"/>
            </w:tcMar>
          </w:tcPr>
          <w:p>
            <w:pPr>
              <w:spacing w:line="276" w:lineRule="auto"/>
              <w:jc w:val="left"/>
            </w:pPr>
            <w:r>
              <w:rPr>
                <w:rFonts w:ascii="Times New Roman" w:hAnsi="Times New Roman"/>
                <w:sz w:val="21"/>
              </w:rPr>
              <w:t>5. Quy mô định biên 67 nhân sự</w:t>
            </w:r>
          </w:p>
        </w:tc>
        <w:tc>
          <w:tcPr>
            <w:tcW w:type="dxa" w:w="1440"/>
            <w:shd w:fill="F8FAFC"/>
            <w:tcMar>
              <w:top w:w="100" w:type="dxa"/>
              <w:bottom w:w="100" w:type="dxa"/>
              <w:left w:w="100" w:type="dxa"/>
              <w:right w:w="100" w:type="dxa"/>
            </w:tcMar>
          </w:tcPr>
          <w:p>
            <w:pPr>
              <w:spacing w:line="276" w:lineRule="auto"/>
              <w:jc w:val="center"/>
            </w:pPr>
            <w:r>
              <w:rPr>
                <w:rFonts w:ascii="Times New Roman" w:hAnsi="Times New Roman"/>
                <w:b/>
                <w:color w:val="DC2626"/>
                <w:sz w:val="21"/>
              </w:rPr>
              <w:t>TRUNG BÌNH</w:t>
              <w:br/>
              <w:t>(55%)</w:t>
            </w:r>
          </w:p>
        </w:tc>
        <w:tc>
          <w:tcPr>
            <w:tcW w:type="dxa" w:w="3168"/>
            <w:shd w:fill="F8FAFC"/>
            <w:tcMar>
              <w:top w:w="100" w:type="dxa"/>
              <w:bottom w:w="100" w:type="dxa"/>
              <w:left w:w="100" w:type="dxa"/>
              <w:right w:w="100" w:type="dxa"/>
            </w:tcMar>
          </w:tcPr>
          <w:p>
            <w:pPr>
              <w:spacing w:line="276" w:lineRule="auto"/>
              <w:jc w:val="left"/>
            </w:pPr>
            <w:r>
              <w:rPr>
                <w:rFonts w:ascii="Times New Roman" w:hAnsi="Times New Roman"/>
                <w:sz w:val="21"/>
              </w:rPr>
              <w:t>Bảo đảm lực lượng đông đảo cho các chiến dịch cao điểm; tạo nguồn bồi dưỡng dồi dào.</w:t>
            </w:r>
          </w:p>
        </w:tc>
        <w:tc>
          <w:tcPr>
            <w:tcW w:type="dxa" w:w="2592"/>
            <w:shd w:fill="F8FAFC"/>
            <w:tcMar>
              <w:top w:w="100" w:type="dxa"/>
              <w:bottom w:w="100" w:type="dxa"/>
              <w:left w:w="100" w:type="dxa"/>
              <w:right w:w="100" w:type="dxa"/>
            </w:tcMar>
          </w:tcPr>
          <w:p>
            <w:pPr>
              <w:spacing w:line="276" w:lineRule="auto"/>
              <w:jc w:val="left"/>
            </w:pPr>
            <w:r>
              <w:rPr>
                <w:rFonts w:ascii="Times New Roman" w:hAnsi="Times New Roman"/>
                <w:sz w:val="21"/>
              </w:rPr>
              <w:t>Quá đông đối với Ban cấp trường; nguy cơ thành viên nhàn rỗi lúc nông nhàn, mất nhiệt huyết.</w:t>
            </w:r>
          </w:p>
        </w:tc>
      </w:tr>
      <w:tr>
        <w:tc>
          <w:tcPr>
            <w:tcW w:type="dxa" w:w="2160"/>
            <w:shd w:fill="FFFFFF"/>
            <w:tcMar>
              <w:top w:w="100" w:type="dxa"/>
              <w:bottom w:w="100" w:type="dxa"/>
              <w:left w:w="100" w:type="dxa"/>
              <w:right w:w="100" w:type="dxa"/>
            </w:tcMar>
          </w:tcPr>
          <w:p>
            <w:pPr>
              <w:spacing w:line="276" w:lineRule="auto"/>
              <w:jc w:val="left"/>
            </w:pPr>
            <w:r>
              <w:rPr>
                <w:rFonts w:ascii="Times New Roman" w:hAnsi="Times New Roman"/>
                <w:sz w:val="21"/>
              </w:rPr>
              <w:t>6. Chấm điểm KPI 100 điểm định kỳ</w:t>
            </w:r>
          </w:p>
        </w:tc>
        <w:tc>
          <w:tcPr>
            <w:tcW w:type="dxa" w:w="1440"/>
            <w:shd w:fill="FFFFFF"/>
            <w:tcMar>
              <w:top w:w="100" w:type="dxa"/>
              <w:bottom w:w="100" w:type="dxa"/>
              <w:left w:w="100" w:type="dxa"/>
              <w:right w:w="100" w:type="dxa"/>
            </w:tcMar>
          </w:tcPr>
          <w:p>
            <w:pPr>
              <w:spacing w:line="276" w:lineRule="auto"/>
              <w:jc w:val="center"/>
            </w:pPr>
            <w:r>
              <w:rPr>
                <w:rFonts w:ascii="Times New Roman" w:hAnsi="Times New Roman"/>
                <w:b/>
                <w:color w:val="DC2626"/>
                <w:sz w:val="21"/>
              </w:rPr>
              <w:t>THẤP - RỦI RO</w:t>
              <w:br/>
              <w:t>(40%)</w:t>
            </w:r>
          </w:p>
        </w:tc>
        <w:tc>
          <w:tcPr>
            <w:tcW w:type="dxa" w:w="3168"/>
            <w:shd w:fill="FFFFFF"/>
            <w:tcMar>
              <w:top w:w="100" w:type="dxa"/>
              <w:bottom w:w="100" w:type="dxa"/>
              <w:left w:w="100" w:type="dxa"/>
              <w:right w:w="100" w:type="dxa"/>
            </w:tcMar>
          </w:tcPr>
          <w:p>
            <w:pPr>
              <w:spacing w:line="276" w:lineRule="auto"/>
              <w:jc w:val="left"/>
            </w:pPr>
            <w:r>
              <w:rPr>
                <w:rFonts w:ascii="Times New Roman" w:hAnsi="Times New Roman"/>
                <w:sz w:val="21"/>
              </w:rPr>
              <w:t>Lượng hóa khách quan đóng góp của thành viên qua 4 tiêu chí rõ ràng (40-30-20-10).</w:t>
            </w:r>
          </w:p>
        </w:tc>
        <w:tc>
          <w:tcPr>
            <w:tcW w:type="dxa" w:w="2592"/>
            <w:shd w:fill="FFFFFF"/>
            <w:tcMar>
              <w:top w:w="100" w:type="dxa"/>
              <w:bottom w:w="100" w:type="dxa"/>
              <w:left w:w="100" w:type="dxa"/>
              <w:right w:w="100" w:type="dxa"/>
            </w:tcMar>
          </w:tcPr>
          <w:p>
            <w:pPr>
              <w:spacing w:line="276" w:lineRule="auto"/>
              <w:jc w:val="left"/>
            </w:pPr>
            <w:r>
              <w:rPr>
                <w:rFonts w:ascii="Times New Roman" w:hAnsi="Times New Roman"/>
                <w:sz w:val="21"/>
              </w:rPr>
              <w:t>Gánh nặng sổ sách khổng lồ cho 4 Trưởng mảng; dễ biến thành 'dĩ hòa vi quý' hoặc gây mất đoàn kết.</w:t>
            </w:r>
          </w:p>
        </w:tc>
      </w:tr>
    </w:tbl>
    <w:p>
      <w:pPr>
        <w:spacing w:before="80"/>
      </w:pPr>
    </w:p>
    <w:p>
      <w:pPr>
        <w:spacing w:before="280" w:after="80"/>
      </w:pPr>
      <w:r>
        <w:rPr>
          <w:b/>
          <w:color w:val="005BAC"/>
          <w:sz w:val="27"/>
        </w:rPr>
        <w:t>PHẦN III. PHÂN TÍCH NĂM (05) ĐIỂM NGHẼN &amp; VƯỚNG MẮC THỰC TẾ KHI VẬN HÀNH</w:t>
      </w:r>
    </w:p>
    <w:p>
      <w:pPr>
        <w:spacing w:after="120" w:line="300" w:lineRule="auto"/>
        <w:ind w:firstLine="562"/>
      </w:pPr>
      <w:r>
        <w:t>Từ thực tế công tác tại Đại học Bách khoa Hà Nội, Ban TCKT đã bóc tách 05 điểm nghẽn nghiêm trọng nhất mà mô hình chắc chắn sẽ va chạm trong quá trình đưa vào áp dụng thực tế:</w:t>
      </w:r>
    </w:p>
    <w:p>
      <w:pPr>
        <w:spacing w:before="160" w:after="60"/>
      </w:pPr>
      <w:r>
        <w:rPr>
          <w:b/>
          <w:sz w:val="26"/>
        </w:rPr>
        <w:t>1. Áp lực học tập và Mùa thi cử Bách khoa làm gãy đổ cam kết thời hạn (SLA)</w:t>
      </w:r>
    </w:p>
    <w:p>
      <w:pPr>
        <w:spacing w:after="80" w:line="300" w:lineRule="auto"/>
        <w:ind w:firstLine="562"/>
      </w:pPr>
      <w:r>
        <w:t>Đặc thù đào tạo theo học chế tín chỉ tại HUST có áp lực thi cử và khối lượng học tập rất nặng nề: Tuần 8 - 9 là cao điểm thi giữa kỳ; Tuần 17 - 19 là cao điểm thi cuối kỳ; xen kẽ là các đợt nộp đồ án môn học, báo cáo thí nghiệm và bảo vệ đồ án tốt nghiệp. Trong khi đó, Đề án đưa ra các cam kết thời hạn rất khắt khe: Tiếp nhận trong 02 giờ trực; Kiểm tra và hướng dẫn bổ sung trong 01 ngày làm việc; Thẩm định trong 03 ngày làm việc. Thực tế cho thấy, 100% nhân sự từ thành viên đến Trưởng mảng đều là sinh viên. Vào các tuần thi, cả người phụ trách chính lẫn người dự phòng (Buddy) đều phải tập trung ôn thi trên giảng đường và thư viện. Nếu không có cơ chế giảm tải, cam kết SLA chắc chắn sẽ bị phá vỡ, dẫn đến tình trạng hồ sơ tồn đọng, chậm trả kết quả và vi phạm chính quy trình chuẩn mà Ban vừa ban hành.</w:t>
      </w:r>
    </w:p>
    <w:p>
      <w:pPr>
        <w:spacing w:before="160" w:after="60"/>
      </w:pPr>
      <w:r>
        <w:rPr>
          <w:b/>
          <w:sz w:val="26"/>
        </w:rPr>
        <w:t>2. Xung đột 'Hai người chỉ huy' (Dual Command) từ mô hình quản trị Ma trận</w:t>
      </w:r>
    </w:p>
    <w:p>
      <w:pPr>
        <w:spacing w:after="80" w:line="300" w:lineRule="auto"/>
        <w:ind w:firstLine="562"/>
      </w:pPr>
      <w:r>
        <w:t>Mô hình phối hợp cơ sở được thiết kế dạng ma trận: Thành viên trực thuộc sự quản lý chuyên môn của Trưởng mảng (được giao việc, kiểm soát chất lượng nghiệp vụ và đánh giá KPI), nhưng đồng thời lại kiêm nhiệm vai trò đại diện chuyên môn trong Tổ đầu mối cơ sở (chịu sự điều phối tiến độ của Tổ trưởng đầu mối). Trong thực tế, mô hình ma trận là dạng tổ chức phức tạp nhất. Sinh viên rất dễ rơi vào thế kẹt: Tổ trưởng đầu mối yêu cầu giải quyết gấp hồ sơ sự kiện cho Đoàn trường X trong ngày; nhưng Trưởng mảng lại yêu cầu tập trung hoàn thành báo cáo số liệu toàn trường của Ban trước. Khi hai mệnh lệnh xung đột, thành viên bối rối không biết ưu tiên việc nào, dẫn đến sự ức chế tâm lý, nguy cơ đùn đẩy trách nhiệm hoặc mâu thuẫn giữa Tổ trưởng và Trưởng mảng.</w:t>
      </w:r>
    </w:p>
    <w:p>
      <w:pPr>
        <w:spacing w:before="160" w:after="60"/>
      </w:pPr>
      <w:r>
        <w:rPr>
          <w:b/>
          <w:sz w:val="26"/>
        </w:rPr>
        <w:t>3. 'Hội chứng hành chính hóa' gây ức chế và lực cản từ 12 đơn vị cơ sở</w:t>
      </w:r>
    </w:p>
    <w:p>
      <w:pPr>
        <w:spacing w:after="80" w:line="300" w:lineRule="auto"/>
        <w:ind w:firstLine="562"/>
      </w:pPr>
      <w:r>
        <w:t>Từ trước đến nay, các Đoàn trường, Liên chi đoàn cơ sở đã quen với cách làm việc linh hoạt, nhắn tin riêng cho người quen, gửi hồ sơ sát giờ hoặc 'xin châm chước' để kịp tiến độ phong trào. Khi Ban TCKT đột ngột áp dụng cơ chế chính quy: Bắt buộc gửi qua kênh chính thức; Cấp mã việc; Chỉ hướng dẫn sửa 01 lần duy nhất; Đúng thời hạn 03 ngày mới trả kết quả... Các đơn vị cơ sở sẽ có phản ứng tâm lý tiêu cực. Họ có thể cho rằng Ban TCKT 'quan liêu, cửa quyền, gây khó dễ, máy móc, cản trở phong trào'. Nếu cán bộ Ban không khéo léo trong giao tiếp, cơ sở sẽ phản ứng ngầm bằng cách nộp chậm, bất hợp tác, hoặc trực tiếp khiếu nại vượt cấp lên Thường trực Đoàn Đại học, tạo áp lực dư luận rất lớn lên Ban Thường vụ.</w:t>
      </w:r>
    </w:p>
    <w:p>
      <w:pPr>
        <w:spacing w:before="160" w:after="60"/>
      </w:pPr>
      <w:r>
        <w:rPr>
          <w:b/>
          <w:sz w:val="26"/>
        </w:rPr>
        <w:t>4. Bài toán định biên 67 người: Nguy cơ thừa lúc nông nhàn, thiếu lúc cao điểm</w:t>
      </w:r>
    </w:p>
    <w:p>
      <w:pPr>
        <w:spacing w:after="80" w:line="300" w:lineRule="auto"/>
        <w:ind w:firstLine="562"/>
      </w:pPr>
      <w:r>
        <w:t>Hoạt động Đoàn mang tính chất chu kỳ mùa vụ rất rõ rệt: Các đợt cao điểm (Tháng Thanh niên, Chiến dịch Mùa hè xanh, Đợt kết nạp Đoàn/Đảng cuối kỳ, Tuần sinh hoạt công dân đầu khóa) thì hồ sơ và sự kiện dồn dập; nhưng vào các tháng giữa học kỳ thì khối lượng việc hành chính tương đối lắng dịu. Duy trì bộ máy cồng kềnh 67 con người trong những tháng bình thường sẽ dẫn đến tình trạng: Không đủ đầu việc để giao, nhiều thành viên rơi vào trạng thái 'vô hình', chỉ có tên trong danh sách mà không có sản phẩm cụ thể. Tâm lý sinh viên khi không được giao việc sẽ nhanh chóng chán nản, nguội lạnh nhiệt huyết và âm thầm rời bỏ tổ chức (churn rate). Ngược lại, đến mùa cao điểm, những thành viên không được tôi luyện thường xuyên lại không nắm vững nghiệp vụ, làm sai sót, dẫn đến việc công việc cuối cùng lại đổ dồn lên vai 4 Trưởng mảng và Lãnh đạo Ban.</w:t>
      </w:r>
    </w:p>
    <w:p>
      <w:pPr>
        <w:spacing w:before="160" w:after="60"/>
      </w:pPr>
      <w:r>
        <w:rPr>
          <w:b/>
          <w:sz w:val="26"/>
        </w:rPr>
        <w:t>5. Gánh nặng chấm điểm KPI và Nguy cơ mất an toàn dữ liệu nhạy cảm</w:t>
      </w:r>
    </w:p>
    <w:p>
      <w:pPr>
        <w:spacing w:after="80" w:line="300" w:lineRule="auto"/>
        <w:ind w:firstLine="562"/>
      </w:pPr>
      <w:r>
        <w:t>Thang điểm 100 KPI với 4 nhóm tiêu chí (40 chuyên môn, 30 phối hợp, 20 kỷ luật, 10 sáng kiến) là một công cụ rất tiến bộ. Tuy nhiên, nếu yêu cầu 4 Trưởng mảng phải chấm chi tiết hàng tháng cho 64 thành viên thì đây là một gánh nặng hành chính khổng lồ. Trưởng mảng sẽ mất toàn bộ thời gian vào việc cân đong đo đếm điểm số thay vì đi sâu kiểm soát nghiệp vụ. Hậu quả tất yếu là KPI sẽ bị biến tướng thành 'hình thức' hoặc 'dĩ hòa vi quý' (ai cũng được chấm 85 - 90 điểm loại B, A để giữ hòa khí).</w:t>
        <w:br/>
        <w:t>Bên cạnh đó, Mảng 2 (Đảng vụ - CĐS) quản lý hồ sơ phát triển Đảng, thẩm tra lý lịch chính trị của đoàn viên ưu tú. Đây là dữ liệu chính trị nội bộ tuyệt mật. Việc phân quyền cho sinh viên quản trị nếu không có quy chuẩn kỹ thuật nghiêm ngặt (sử dụng tài khoản cá nhân, lưu trữ trên Google Drive miễn phí, gửi qua Zalo/Telegram) tiềm ẩn nguy cơ rò rỉ dữ liệu vô cùng nguy hiểm, vi phạm các quy định bảo mật của Đảng ủy Đại học.</w:t>
      </w:r>
    </w:p>
    <w:p>
      <w:pPr>
        <w:spacing w:before="280" w:after="80"/>
      </w:pPr>
      <w:r>
        <w:rPr>
          <w:b/>
          <w:color w:val="005BAC"/>
          <w:sz w:val="27"/>
        </w:rPr>
        <w:t>PHẦN IV. HỆ THỐNG NĂM (05) GIẢI PHÁP VẬN HÀNH &amp; CÁC 'VAN AN TOÀN' TRIỂN KHAI THỰC TẾ</w:t>
      </w:r>
    </w:p>
    <w:p>
      <w:pPr>
        <w:spacing w:after="120" w:line="300" w:lineRule="auto"/>
        <w:ind w:firstLine="562"/>
      </w:pPr>
      <w:r>
        <w:t>Để khắc phục triệt để 05 điểm nghẽn nêu trên và bảo đảm Đề án phát huy hiệu quả cao nhất khi đưa vào thực tế, Ban TCKT đề xuất Ban Thường vụ chuẩn y 05 nhóm giải pháp vận hành mang tính 'van an toàn' như sau:</w:t>
      </w:r>
    </w:p>
    <w:p>
      <w:pPr>
        <w:spacing w:before="160" w:after="60"/>
      </w:pPr>
      <w:r>
        <w:rPr>
          <w:b/>
          <w:sz w:val="26"/>
        </w:rPr>
        <w:t>1. Ban hành Quy chế 'Vận hành mùa thi cử' (Exam-Period Operating Protocol)</w:t>
      </w:r>
    </w:p>
    <w:p>
      <w:pPr>
        <w:spacing w:after="80" w:line="300" w:lineRule="auto"/>
        <w:ind w:firstLine="562"/>
      </w:pPr>
      <w:r>
        <w:t>Trong Đề án và Quy chế làm việc nội bộ, cần chính thức bổ sung điều khoản về 'Chế độ công tác mùa thi':</w:t>
        <w:br/>
        <w:t>• Cơ chế nới giãn SLA tự động: Trong 02 tuần thi giữa kỳ và 03 tuần thi cuối kỳ theo khung thời gian năm học của Đại học, thời hạn xử lý hồ sơ tự động được kéo dài thêm 02 - 03 ngày làm việc (Thẩm định tăng từ 03 ngày lên 05 - 06 ngày làm việc).</w:t>
        <w:br/>
        <w:t>• Điều chuyển lực lượng trực ban linh hoạt: Ưu tiên phân công sinh viên năm thứ nhất và năm thứ hai (chưa có đồ án nặng) đảm nhận các ca trực tiếp nhận và rà soát bước đầu thay cho các anh chị năm thứ ba, thứ tư đang làm Đồ án tốt nghiệp.</w:t>
        <w:br/>
        <w:t>• Thông báo trước cho 12 đơn vị cơ sở: Đầu mỗi kỳ thi, Ban TCKT phát đi thông báo lịch công tác mùa thi để các đơn vị cơ sở chủ động nộp hồ sơ trước hạn ít nhất 07 ngày, tránh tình trạng dồn ứ sát ngày sự kiện.</w:t>
      </w:r>
    </w:p>
    <w:tbl>
      <w:tblPr>
        <w:tblW w:type="auto" w:w="0"/>
        <w:jc w:val="center"/>
        <w:tblLayout w:type="fixed"/>
        <w:tblLook w:firstColumn="1" w:firstRow="1" w:lastColumn="0" w:lastRow="0" w:noHBand="0" w:noVBand="1" w:val="04A0"/>
      </w:tblPr>
      <w:tblGrid>
        <w:gridCol w:w="9403"/>
      </w:tblGrid>
      <w:tr>
        <w:tc>
          <w:tcPr>
            <w:tcW w:type="dxa" w:w="9360"/>
            <w:shd w:fill="F0F7FF"/>
            <w:tcMar>
              <w:top w:w="140" w:type="dxa"/>
              <w:bottom w:w="140" w:type="dxa"/>
              <w:left w:w="200" w:type="dxa"/>
              <w:right w:w="200" w:type="dxa"/>
            </w:tcMar>
            <w:tcBorders>
              <w:left w:val="single" w:sz="24" w:space="0" w:color="005BAC"/>
              <w:top w:val="none"/>
              <w:bottom w:val="none"/>
              <w:right w:val="none"/>
            </w:tcBorders>
          </w:tcPr>
          <w:p>
            <w:pPr>
              <w:spacing w:before="40" w:after="80"/>
            </w:pPr>
            <w:r>
              <w:rPr>
                <w:rFonts w:ascii="Times New Roman" w:hAnsi="Times New Roman"/>
                <w:b/>
                <w:color w:val="005BAC"/>
                <w:sz w:val="23"/>
              </w:rPr>
              <w:t>📌 NGUYÊN TẮC QUAN TRỌNG: BẢO VỆ KẾT QUẢ HỌC TẬP CỦA CÁN BỘ ĐOÀN</w:t>
            </w:r>
          </w:p>
          <w:p>
            <w:pPr>
              <w:spacing w:before="40" w:after="60" w:line="288" w:lineRule="auto"/>
            </w:pPr>
            <w:r>
              <w:rPr>
                <w:rFonts w:ascii="Times New Roman" w:hAnsi="Times New Roman"/>
                <w:color w:val="1E293B"/>
                <w:sz w:val="22"/>
              </w:rPr>
              <w:t>Chế độ mùa thi không phải là sự buông lỏng kỷ cương, mà là sự tôn trọng quy luật học tập tại Bách khoa.</w:t>
            </w:r>
          </w:p>
          <w:p>
            <w:pPr>
              <w:spacing w:before="40" w:after="60" w:line="288" w:lineRule="auto"/>
            </w:pPr>
            <w:r>
              <w:rPr>
                <w:rFonts w:ascii="Times New Roman" w:hAnsi="Times New Roman"/>
                <w:color w:val="1E293B"/>
                <w:sz w:val="22"/>
              </w:rPr>
              <w:t>Quy định giãn SLA minh bạch giúp cán bộ cơ sở yên tâm nộp sớm và giúp cán bộ Ban không bị quá tải tâm lý khi thi cử.</w:t>
            </w:r>
          </w:p>
        </w:tc>
      </w:tr>
    </w:tbl>
    <w:p>
      <w:pPr>
        <w:spacing w:before="80" w:after="120"/>
      </w:pPr>
    </w:p>
    <w:p>
      <w:pPr>
        <w:spacing w:before="160" w:after="60"/>
      </w:pPr>
      <w:r>
        <w:rPr>
          <w:b/>
          <w:sz w:val="26"/>
        </w:rPr>
        <w:t>2. Định vị văn hóa tiếp xúc cơ sở: 'Đồng hành - Tháo gỡ' thay vì 'Cửa quyền - Bắt bẻ'</w:t>
      </w:r>
    </w:p>
    <w:p>
      <w:pPr>
        <w:spacing w:after="80" w:line="300" w:lineRule="auto"/>
        <w:ind w:firstLine="562"/>
      </w:pPr>
      <w:r>
        <w:t>Để xóa bỏ tâm lý e ngại hoặc đối đầu từ 12 Đoàn trường, Liên chi đoàn, cần xác lập triết lý phục vụ nhất quán:</w:t>
        <w:br/>
        <w:t>• Tổ chức Hội nghị đối thoại &amp; Hướng dẫn nghiệp vụ trước khi triển khai: Ngay sau khi Đề án được BTV thông qua, Ban TCKT tổ chức Hội nghị gặp mặt Thường trực 12 đơn vị cơ sở để công khai quy trình SOP, giải thích rõ: Chuẩn hóa quy trình chính là để bảo vệ quyền lợi đoàn viên cơ sở, giúp hồ sơ không bị thất lạc và minh bạch hóa khâu ghi nhận ĐRL.</w:t>
        <w:br/>
        <w:t>• Triệt để thực hiện 'Nguyên tắc 01 lần': Cán bộ rà soát phải ghi rõ toàn bộ nội dung cần bổ sung vào Phiếu hướng dẫn chuẩn trong một lần duy nhất; nghiêm cấm việc bắt cơ sở đi lại nhiều lần vì mỗi lần phát hiện thêm một lỗi nhỏ.</w:t>
        <w:br/>
        <w:t>• Giải quyết xung đột thẩm quyền: Khi phát sinh bất đồng chuyên môn giữa cơ sở và đầu mối Ban, Tổ trưởng đầu mối có trách nhiệm báo cáo trực tiếp Phó Trưởng ban phụ trách mảng để giải quyết, tuyệt đối không để thành viên tranh cãi tay đôi với cán bộ cơ sở.</w:t>
      </w:r>
    </w:p>
    <w:p>
      <w:pPr>
        <w:spacing w:before="160" w:after="60"/>
      </w:pPr>
      <w:r>
        <w:rPr>
          <w:b/>
          <w:sz w:val="26"/>
        </w:rPr>
        <w:t>3. Phân tầng nhân sự theo mô hình 'Nòng cốt - Vệ tinh' (Core - Satellite)</w:t>
      </w:r>
    </w:p>
    <w:p>
      <w:pPr>
        <w:spacing w:after="80" w:line="300" w:lineRule="auto"/>
        <w:ind w:firstLine="562"/>
      </w:pPr>
      <w:r>
        <w:t>Giải quyết bài toán quy mô 67 nhân sự bằng cơ chế phân lớp nhiệm vụ rõ ràng:</w:t>
        <w:br/>
        <w:t>• Lực lượng Nòng cốt (Core team ~ 30 - 35 đồng chí): Gồm 03 Lãnh đạo Ban, 04 Trưởng mảng, 05 Phó Trưởng mảng, 12 Tổ trưởng/Tổ phó đầu mối và các chuyên viên kỹ thuật then chốt. Nhóm này chịu trách nhiệm trực ban thường xuyên, thẩm định chuyên môn sâu, điều phối tiến độ và là trụ cột duy trì hoạt động hàng ngày của Ban.</w:t>
        <w:br/>
        <w:t>• Lực lượng Mở rộng / Vệ tinh (~ 30 - 35 đồng chí): Gồm các thành viên mới, lực lượng dự bị chuyên môn. Nhóm này được phân công tham gia các chiến dịch cao điểm, trực tiếp hỗ trợ sự kiện Mảng 4, tham gia tổ giám sát hậu kiểm ĐRL thực địa, hoặc hỗ trợ nhập liệu chuyển đổi số. Đây chính là 'vườn ươm' để bồi dưỡng, thử thách và tạo nguồn cán bộ kế cận cho các khóa sau.</w:t>
        <w:br/>
        <w:t>• Lộ trình tinh gọn tự nhiên: Sau giai đoạn thí điểm 01 học kỳ (T0+3), Ban tiến hành đánh giá thực tế khối lượng công việc. Những nhân sự không bảo đảm thời gian tham gia sẽ được tạo điều kiện luân chuyển hoặc rút lui danh dự, từng bước tối ưu hóa bộ máy về quy mô tinh gọn lý tưởng từ 45 - 50 nhân sự tinh nhuệ.</w:t>
      </w:r>
    </w:p>
    <w:p>
      <w:pPr>
        <w:spacing w:before="160" w:after="60"/>
      </w:pPr>
      <w:r>
        <w:rPr>
          <w:b/>
          <w:sz w:val="26"/>
        </w:rPr>
        <w:t>4. Đơn giản hóa cơ chế đánh giá KPI (Bỏ chấm điểm vụn vặt, chia 2 tầng đánh giá)</w:t>
      </w:r>
    </w:p>
    <w:p>
      <w:pPr>
        <w:spacing w:after="80" w:line="300" w:lineRule="auto"/>
        <w:ind w:firstLine="562"/>
      </w:pPr>
      <w:r>
        <w:t>Chuyển đổi quy trình chấm điểm KPI 100 điểm thành cơ chế 2 tầng gọn nhẹ, hiệu quả:</w:t>
        <w:br/>
        <w:t>• Đánh giá định kỳ hàng tháng (Tầng 1 - Sàng lọc nhanh): Trưởng mảng KHÔNG chấm chi tiết từng tiêu chí 5đ, 10đ. Hàng tháng chỉ đánh giá theo 02 mức nhị phân: 'ĐẠT' (Hoàn thành ca trực, không để trễ hạn việc được giao) hoặc 'CẦN LƯU Ý' (Bỏ ca trực không phép, trễ hạn trên 02 hồ sơ mà không báo cáo lý do). Việc này giảm 85% thời gian sổ sách cho Trưởng mảng.</w:t>
        <w:br/>
        <w:t>• Tổng kết xếp loại cuối kỳ (Tầng 2 - Khung 100 điểm chính thức): Chỉ thực hiện 01 lần vào cuối học kỳ hoặc cuối năm học. Khi đó mới áp dụng đầy đủ Thang điểm 100 và Khung xếp loại A, B, C, D để xét thi đua khen thưởng, cấp chứng nhận cán bộ Đoàn và quy hoạch nhân sự khóa sau. Kết hợp đánh giá chéo trong cặp Buddy để bảo đảm tính khách quan.</w:t>
      </w:r>
    </w:p>
    <w:p>
      <w:pPr>
        <w:spacing w:before="160" w:after="60"/>
      </w:pPr>
      <w:r>
        <w:rPr>
          <w:b/>
          <w:sz w:val="26"/>
        </w:rPr>
        <w:t>5. Chuẩn hóa hạ tầng công nghệ số và Quy chuẩn bảo mật thông tin nội bộ</w:t>
      </w:r>
    </w:p>
    <w:p>
      <w:pPr>
        <w:spacing w:after="80" w:line="300" w:lineRule="auto"/>
        <w:ind w:firstLine="562"/>
      </w:pPr>
      <w:r>
        <w:t>Bảo đảm tính an toàn, bảo mật và khả năng mở rộng của hệ thống dữ liệu:</w:t>
        <w:br/>
        <w:t>• Bắt buộc dùng tài khoản định danh chính thức: 100% nhân sự Ban khi thao tác trên hệ thống dữ liệu, hòm thư và kho lưu trữ phải sử dụng tài khoản email sinh viên Bách khoa được cấp chính thức (@sis.hust.edu.vn hoặc @hust.edu.vn). Tuyệt đối cấm dùng tài khoản Gmail cá nhân để lưu trữ hồ sơ Đảng vụ và nhân sự Đoàn.</w:t>
        <w:br/>
        <w:t>• Phân quyền 03 cấp chặt chẽ: Cấp 1 (Lãnh đạo Ban - Xem toàn quyền và phê duyệt); Cấp 2 (Trưởng mảng/Phó mảng - Quản trị kho nghiệp vụ thuộc mảng); Cấp 3 (Đầu mối/Thành viên - Chỉ được phân quyền đọc/ghi trên các hồ sơ và thư mục đơn vị mình phụ trách). Kích hoạt tính năng ghi nhật ký chỉnh sửa (Audit log) để phát hiện sai sót.</w:t>
        <w:br/>
        <w:t>• Bảng điều khiển (Dashboard) tiến độ dùng chung: Mảng 2 xây dựng một trang theo dõi trạng thái hồ sơ tinh giản (sử dụng Google Sheets liên kết Looker Studio hoặc Portal nội bộ) tối ưu cho việc xem trên điện thoại, giúp Lãnh đạo Ban và Tổ trưởng nắm bắt ngay hồ sơ nào đang chờ xử lý, ai phụ trách mà không cần làm báo cáo giấy.</w:t>
      </w:r>
    </w:p>
    <w:tbl>
      <w:tblPr>
        <w:tblW w:type="auto" w:w="0"/>
        <w:jc w:val="center"/>
        <w:tblLayout w:type="fixed"/>
        <w:tblLook w:firstColumn="1" w:firstRow="1" w:lastColumn="0" w:lastRow="0" w:noHBand="0" w:noVBand="1" w:val="04A0"/>
      </w:tblPr>
      <w:tblGrid>
        <w:gridCol w:w="9403"/>
      </w:tblGrid>
      <w:tr>
        <w:tc>
          <w:tcPr>
            <w:tcW w:type="dxa" w:w="9360"/>
            <w:shd w:fill="FEF2F2"/>
            <w:tcMar>
              <w:top w:w="140" w:type="dxa"/>
              <w:bottom w:w="140" w:type="dxa"/>
              <w:left w:w="200" w:type="dxa"/>
              <w:right w:w="200" w:type="dxa"/>
            </w:tcMar>
            <w:tcBorders>
              <w:left w:val="single" w:sz="24" w:space="0" w:color="DC2626"/>
              <w:top w:val="none"/>
              <w:bottom w:val="none"/>
              <w:right w:val="none"/>
            </w:tcBorders>
          </w:tcPr>
          <w:p>
            <w:pPr>
              <w:spacing w:before="40" w:after="80"/>
            </w:pPr>
            <w:r>
              <w:rPr>
                <w:rFonts w:ascii="Times New Roman" w:hAnsi="Times New Roman"/>
                <w:b/>
                <w:color w:val="DC2626"/>
                <w:sz w:val="23"/>
              </w:rPr>
              <w:t>📌 CẢNH BÁO BẢO MẬT DỮ LIỆU ĐẢNG VÀ NHÂN SỰ</w:t>
            </w:r>
          </w:p>
          <w:p>
            <w:pPr>
              <w:spacing w:before="40" w:after="60" w:line="288" w:lineRule="auto"/>
            </w:pPr>
            <w:r>
              <w:rPr>
                <w:rFonts w:ascii="Times New Roman" w:hAnsi="Times New Roman"/>
                <w:color w:val="1E293B"/>
                <w:sz w:val="22"/>
              </w:rPr>
              <w:t>Dữ liệu Đảng vụ và thẩm tra chính trị nội bộ là tài liệu mật theo quy định của Đảng ủy Đại học.</w:t>
            </w:r>
          </w:p>
          <w:p>
            <w:pPr>
              <w:spacing w:before="40" w:after="60" w:line="288" w:lineRule="auto"/>
            </w:pPr>
            <w:r>
              <w:rPr>
                <w:rFonts w:ascii="Times New Roman" w:hAnsi="Times New Roman"/>
                <w:color w:val="1E293B"/>
                <w:sz w:val="22"/>
              </w:rPr>
              <w:t>Mảng 2 chỉ quản trị mặt công nghệ và đường dẫn phân quyền, không được tự ý sao chép, tải lên các công cụ AI công cộng hoặc chia sẻ ra ngoài.</w:t>
            </w:r>
          </w:p>
        </w:tc>
      </w:tr>
    </w:tbl>
    <w:p>
      <w:pPr>
        <w:spacing w:before="80" w:after="120"/>
      </w:pPr>
    </w:p>
    <w:p>
      <w:pPr>
        <w:spacing w:before="280" w:after="80"/>
      </w:pPr>
      <w:r>
        <w:rPr>
          <w:b/>
          <w:color w:val="005BAC"/>
          <w:sz w:val="27"/>
        </w:rPr>
        <w:t>PHẦN V. KIẾN NGHỊ BAN THƯỜNG VỤ VÀ LỘ TRÌNH TRIỂN KHAI TỐI ƯU</w:t>
      </w:r>
    </w:p>
    <w:p>
      <w:pPr>
        <w:spacing w:after="120" w:line="300" w:lineRule="auto"/>
        <w:ind w:firstLine="562"/>
      </w:pPr>
      <w:r>
        <w:t>Để hiện thực hóa Đề án một cách vững chắc, Ban Tổ chức - Kiểm tra kính trình Ban Thường vụ Đoàn Đại học xem xét, chỉ đạo 03 nội dung trọng tâm:</w:t>
      </w:r>
    </w:p>
    <w:p>
      <w:pPr>
        <w:pStyle w:val="ListBullet"/>
        <w:spacing w:after="60" w:line="288" w:lineRule="auto"/>
      </w:pPr>
      <w:r>
        <w:rPr>
          <w:b/>
        </w:rPr>
        <w:t xml:space="preserve">1. Phê duyệt chủ trương Đề án gắn liền với 05 giải pháp vận hành: </w:t>
      </w:r>
      <w:r>
        <w:t>Chấp thuận chủ trương tái cấu trúc Ban TCKT theo mô hình 04 mảng chuyên môn và 12 tổ đầu mối; đồng thời cho phép áp dụng các 'van an toàn': Chế độ nới giãn thời hạn mùa thi cử, mô hình phân tầng nhân sự nòng cốt - vệ tinh, và cơ chế đánh giá KPI 2 tầng tinh gọn.</w:t>
      </w:r>
    </w:p>
    <w:p>
      <w:pPr>
        <w:pStyle w:val="ListBullet"/>
        <w:spacing w:after="60" w:line="288" w:lineRule="auto"/>
      </w:pPr>
      <w:r>
        <w:rPr>
          <w:b/>
        </w:rPr>
        <w:t xml:space="preserve">2. Giao thẩm quyền triển khai thí điểm có thời hạn: </w:t>
      </w:r>
      <w:r>
        <w:t>Cho phép Ban TCKT triển khai vận hành thí điểm mô hình mới trong thời gian 01 học kỳ (từ tháng 9/2026 đến hết tháng 01/2027). Sau đợt thi cuối kỳ I, Ban TCKT sẽ tổ chức hội nghị sơ kết toàn diện, báo cáo BTV kết quả thực tế và đề xuất hoàn thiện bộ máy.</w:t>
      </w:r>
    </w:p>
    <w:p>
      <w:pPr>
        <w:pStyle w:val="ListBullet"/>
        <w:spacing w:after="120" w:line="288" w:lineRule="auto"/>
      </w:pPr>
      <w:r>
        <w:rPr>
          <w:b/>
        </w:rPr>
        <w:t xml:space="preserve">3. Lộ trình thực hiện 04 giai đoạn cụ thể: </w:t>
      </w:r>
      <w:r>
        <w:t>• Giai đoạn 1 (Tuần 1 - 2): Kiện toàn nhân sự 04 Mảng; tập huấn nội bộ về SOP 04 bước và phân quyền hạ tầng số.</w:t>
        <w:br/>
        <w:t>• Giai đoạn 2 (Tuần 3 - 4): Tổ chức Hội nghị đối thoại, phổ biến quy trình làm việc mới tới 12 Đoàn trường, Liên chi đoàn.</w:t>
        <w:br/>
        <w:t>• Giai đoạn 3 (Tuần 5 - 16): Vận hành thực tế, kích hoạt Chế độ mùa thi trong đợt thi giữa kỳ (Tuần 8-9) để kiểm nghiệm khả năng chịu tải.</w:t>
        <w:br/>
        <w:t>• Giai đoạn 4 (Tuần 17 - 20): Đánh giá cao điểm thi cuối kỳ, tổng kết KPI học kỳ I và trình BTV phương án tinh gọn nhân sự chính thức.</w:t>
      </w:r>
    </w:p>
    <w:p>
      <w:pPr>
        <w:spacing w:before="160" w:after="280" w:line="300" w:lineRule="auto"/>
        <w:ind w:firstLine="562"/>
      </w:pPr>
      <w:r>
        <w:t>Ban Tổ chức - Kiểm tra tin tưởng rằng, với việc bổ sung các giải pháp tháo gỡ điểm nghẽn thực tế nêu trên, Đề án Tái cấu trúc sẽ không chỉ là một văn bản mẫu mực về mặt thể thức, mà sẽ thực sự trở thành đòn bẩy nâng cao chất lượng công tác Đoàn và phong trào thanh niên Đại học Bách khoa Hà Nội ngày càng chuyên nghiệp, kỷ cương và hiện đại./.</w:t>
      </w:r>
    </w:p>
    <w:tbl>
      <w:tblPr>
        <w:tblW w:type="auto" w:w="0"/>
        <w:jc w:val="center"/>
        <w:tblLayout w:type="fixed"/>
        <w:tblLook w:firstColumn="1" w:firstRow="1" w:lastColumn="0" w:lastRow="0" w:noHBand="0" w:noVBand="1" w:val="04A0"/>
      </w:tblPr>
      <w:tblGrid>
        <w:gridCol w:w="4608"/>
        <w:gridCol w:w="4752"/>
      </w:tblGrid>
      <w:tr>
        <w:tc>
          <w:tcPr>
            <w:tcW w:type="dxa" w:w="4701"/>
          </w:tcPr>
          <w:p>
            <w:pPr>
              <w:spacing w:after="40"/>
            </w:pPr>
            <w:r>
              <w:rPr>
                <w:b/>
                <w:sz w:val="22"/>
              </w:rPr>
              <w:t>Nơi nhận:</w:t>
              <w:br/>
            </w:r>
          </w:p>
          <w:p>
            <w:pPr>
              <w:spacing w:after="20" w:line="276" w:lineRule="auto"/>
            </w:pPr>
            <w:r>
              <w:rPr>
                <w:rFonts w:ascii="Times New Roman" w:hAnsi="Times New Roman"/>
                <w:i/>
                <w:sz w:val="20"/>
              </w:rPr>
              <w:t>- BTV Đoàn Đại học (để b/c);</w:t>
            </w:r>
          </w:p>
          <w:p>
            <w:pPr>
              <w:spacing w:after="20" w:line="276" w:lineRule="auto"/>
            </w:pPr>
            <w:r>
              <w:rPr>
                <w:rFonts w:ascii="Times New Roman" w:hAnsi="Times New Roman"/>
                <w:i/>
                <w:sz w:val="20"/>
              </w:rPr>
              <w:t>- Thường trực Đoàn Đại học;</w:t>
            </w:r>
          </w:p>
          <w:p>
            <w:pPr>
              <w:spacing w:after="20" w:line="276" w:lineRule="auto"/>
            </w:pPr>
            <w:r>
              <w:rPr>
                <w:rFonts w:ascii="Times New Roman" w:hAnsi="Times New Roman"/>
                <w:i/>
                <w:sz w:val="20"/>
              </w:rPr>
              <w:t>- Lãnh đạo Ban TCKT;</w:t>
            </w:r>
          </w:p>
          <w:p>
            <w:pPr>
              <w:spacing w:after="20" w:line="276" w:lineRule="auto"/>
            </w:pPr>
            <w:r>
              <w:rPr>
                <w:rFonts w:ascii="Times New Roman" w:hAnsi="Times New Roman"/>
                <w:i/>
                <w:sz w:val="20"/>
              </w:rPr>
              <w:t>- 04 Trưởng mảng trực thuộc;</w:t>
            </w:r>
          </w:p>
          <w:p>
            <w:pPr>
              <w:spacing w:after="20" w:line="276" w:lineRule="auto"/>
            </w:pPr>
            <w:r>
              <w:rPr>
                <w:rFonts w:ascii="Times New Roman" w:hAnsi="Times New Roman"/>
                <w:i/>
                <w:sz w:val="20"/>
              </w:rPr>
              <w:t>- 12 Đoàn trường, LCĐ (để p/h);</w:t>
            </w:r>
          </w:p>
          <w:p>
            <w:pPr>
              <w:spacing w:after="20" w:line="276" w:lineRule="auto"/>
            </w:pPr>
            <w:r>
              <w:rPr>
                <w:rFonts w:ascii="Times New Roman" w:hAnsi="Times New Roman"/>
                <w:i/>
                <w:sz w:val="20"/>
              </w:rPr>
              <w:t>- Lưu: VP, TCKT.</w:t>
            </w:r>
          </w:p>
        </w:tc>
        <w:tc>
          <w:tcPr>
            <w:tcW w:type="dxa" w:w="4701"/>
          </w:tcPr>
          <w:p>
            <w:pPr>
              <w:spacing w:after="40"/>
              <w:jc w:val="center"/>
            </w:pPr>
            <w:r>
              <w:rPr>
                <w:b/>
                <w:sz w:val="23"/>
              </w:rPr>
              <w:t>TM. BAN TỔ CHỨC - KIỂM TRA</w:t>
              <w:br/>
              <w:t>TRƯỞNG BAN</w:t>
              <w:br/>
            </w:r>
            <w:r>
              <w:rPr>
                <w:i/>
                <w:sz w:val="21"/>
              </w:rPr>
              <w:t>(Ký và ghi rõ họ tên)</w:t>
              <w:br/>
              <w:br/>
              <w:br/>
              <w:br/>
              <w:br/>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