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1190742" cy="552041"/>
            <wp:effectExtent b="0" l="0" r="0" t="0"/>
            <wp:docPr descr="A logo for a company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logo for a company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742" cy="552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First Cloud AI Journey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Happy Code – FPT University – FitAI Challenge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160" w:before="360" w:line="259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3951337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siwmkcfrn0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lsiwmkcfrn0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_heading=h.lsiwmkcfrn0n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BACKGROUND and motivation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jhmzmnqgbs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tjhmzmnqgb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_heading=h.tjhmzmnqgbs2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executive summary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jpax267uv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7jpax267uvb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_heading=h.7jpax267uvbg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PROJECT SUCCESS CRITERIA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pak7iw1eys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7pak7iw1eys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_heading=h.7pak7iw1eysh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Assumptions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b4oebmuinm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xb4oebmuin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_heading=h.xb4oebmuinmo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SOLUTION ARCHITECTURE / ARCHITECTURAL DIAGRAM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v3l1xyfrt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rv3l1xyfrti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_heading=h.rv3l1xyfrtir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Technical Architecture Diagram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4li77z8g2o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k4li77z8g2o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_heading=h.k4li77z8g2o6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Technical Plan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fu0phbpbt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pfu0phbpb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_heading=h.pfu0phbpbtp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Project Plan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ywa9zdf2ig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cywa9zdf2ig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_heading=h.cywa9zdf2igp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Security Considerations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qtpe4tbjt3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2qtpe4tbjt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_heading=h.2qtpe4tbjt3u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Activities AND Deliverables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of9ks2thdu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jof9ks2thd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_heading=h.jof9ks2thdu2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Activities and deliverables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nnlnu7iwog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7nnlnu7iwog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_heading=h.7nnlnu7iwogd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OUT OF SCOPE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790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w0s1f3h877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rw0s1f3h877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_heading=h.rw0s1f3h8770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PATH TO PRODUCTION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8clovt1xp9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58clovt1xp9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_heading=h.58clovt1xp9u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EXPECTED AWS COST BREAKDOWN BY SERVICES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jl1dyq3d27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gjl1dyq3d27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_heading=h.gjl1dyq3d27o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TEAM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49v6bacd68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v49v6bacd68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_heading=h.v49v6bacd68v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resources &amp; cost estimates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79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em8cu13aqn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eem8cu13aqn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_heading=h.eem8cu13aqnc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Acceptance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bottom w:color="000000" w:space="0" w:sz="0" w:val="none"/>
        </w:pBdr>
        <w:spacing w:after="120" w:before="480" w:lineRule="auto"/>
        <w:ind w:left="0" w:firstLine="0"/>
        <w:rPr>
          <w:rFonts w:ascii="Times New Roman" w:cs="Times New Roman" w:eastAsia="Times New Roman" w:hAnsi="Times New Roman"/>
          <w:smallCaps w:val="0"/>
          <w:sz w:val="46"/>
          <w:szCs w:val="46"/>
        </w:rPr>
      </w:pPr>
      <w:bookmarkStart w:colFirst="0" w:colLast="0" w:name="_heading=h.hzkj1ofofukh" w:id="0"/>
      <w:bookmarkEnd w:id="0"/>
      <w:r w:rsidDel="00000000" w:rsidR="00000000" w:rsidRPr="00000000">
        <w:rPr>
          <w:rFonts w:ascii="Times New Roman" w:cs="Times New Roman" w:eastAsia="Times New Roman" w:hAnsi="Times New Roman"/>
          <w:smallCaps w:val="0"/>
          <w:sz w:val="46"/>
          <w:szCs w:val="46"/>
          <w:rtl w:val="0"/>
        </w:rPr>
        <w:t xml:space="preserve">1. BACKGROUND AND MOTIVATION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84ytshu0fqzx" w:id="1"/>
      <w:bookmarkEnd w:id="1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1.1 Executive Summary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7h7ao4x9i4j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Customer Background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FitAI Challenge is a project developed by a student team from FPT University, aiming to build an intelligent fitness training platform for Vietnamese users. The application encourages users to maintain a consistent workout habit through challenges, gamification, and AI Camera–based movement scoring.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mas0vo8gg8b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Business and Technical Objectives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modern, transparent, and interactive workout platform.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Leverage AI and serverless architecture to reduce initial operational costs.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performance, latency, and security using AWS Cloud.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AI to analyze posture, count reps, and provide personalized feedback via Amazon Bedrock.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bqhys2a4parl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and count workout repetitions (push-ups, squats…).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 in individual or group challenges.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workout history and earn FitPoints for rewards.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AI-generated feedback on posture and technique suggestions.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Leaderboards and social sharing.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ykuu64v28sz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Summary of Professional Services Delivered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includes the design and deployment of a full serverless architecture on AWS: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VPC, CloudFront, S3, API Gateway, Cognito.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Lambda (Java), RDS MySQL, VPC Endpoints, and security configurations.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AI Pipeline using SQS, Step Functions, and Bedrock.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CI/CD, logging, monitoring, and cost optimization.</w:t>
        <w:br w:type="textWrapping"/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5oape44f7qkb" w:id="6"/>
      <w:bookmarkEnd w:id="6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1.2 Project Success Criteria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movement recognition accuracy &gt; 90%.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up to 10,000 concurrent users.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operational cost at 10–12 USD/month during MVP.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Low-latency AI processing (&lt; 2 seconds per request).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100% services running within a Private VPC for data security.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CI/CD pipeline with ≥ 95% stable builds.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gxtgyl581jd7" w:id="7"/>
      <w:bookmarkEnd w:id="7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1.3 Assumptions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provides full access to required cloud services.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have devices with compatible cameras for recording.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Workout videos stored in S3 will be deleted periodically after processing.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models are accessed via Bedrock; no custom model training required.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Early-stage user base &lt; 500 users.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RDS runs in auto-stop mode to reduce costs.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Certain advanced features are not part of the MVP.</w:t>
        <w:br w:type="textWrapping"/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bottom w:color="000000" w:space="0" w:sz="0" w:val="none"/>
        </w:pBdr>
        <w:spacing w:after="120" w:before="480" w:lineRule="auto"/>
        <w:ind w:left="0" w:firstLine="0"/>
        <w:rPr>
          <w:rFonts w:ascii="Times New Roman" w:cs="Times New Roman" w:eastAsia="Times New Roman" w:hAnsi="Times New Roman"/>
          <w:smallCaps w:val="0"/>
          <w:sz w:val="46"/>
          <w:szCs w:val="46"/>
        </w:rPr>
      </w:pPr>
      <w:bookmarkStart w:colFirst="0" w:colLast="0" w:name="_heading=h.taow9cdi6q4" w:id="8"/>
      <w:bookmarkEnd w:id="8"/>
      <w:r w:rsidDel="00000000" w:rsidR="00000000" w:rsidRPr="00000000">
        <w:rPr>
          <w:rFonts w:ascii="Times New Roman" w:cs="Times New Roman" w:eastAsia="Times New Roman" w:hAnsi="Times New Roman"/>
          <w:smallCaps w:val="0"/>
          <w:sz w:val="46"/>
          <w:szCs w:val="46"/>
          <w:rtl w:val="0"/>
        </w:rPr>
        <w:t xml:space="preserve">2. SOLUTION ARCHITECTURE / ARCHITECTURAL DIAGRAM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1sxqdjwxwup4" w:id="9"/>
      <w:bookmarkEnd w:id="9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2.1 Technical Architecture Diagram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uses AWS Serverless with a Private VPC architecture: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→ Route 53 → WAF → CloudFront → S3 Static Web Hosting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API Gateway → Lambda (Java) → RDS MySQL / S3 (via VPC Endpoint)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AI Pipeline: Lambda → SQS → Step Functions → Bedrock (Interface Endpoint)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CloudWatch for logs and performance monitoring</w:t>
        <w:br w:type="textWrapping"/>
      </w:r>
    </w:p>
    <w:p w:rsidR="00000000" w:rsidDel="00000000" w:rsidP="00000000" w:rsidRDefault="00000000" w:rsidRPr="00000000" w14:paraId="0000004B">
      <w:pPr>
        <w:spacing w:after="24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58000" cy="400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hmps27svv11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CloudFormation / IaC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CodePipeline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CloudWatch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 Bedrock</w:t>
        <w:br w:type="textWrapping"/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lwzi3xgybqo7" w:id="11"/>
      <w:bookmarkEnd w:id="11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2.2 Technical Plan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VPC (2 Private Subnets + 2 Public Subnets).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API Gateway as backend entry point.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Lambda (Java) for Auth, Upload, AI Pipeline, Save Result.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structured data in RDS MySQL.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raw and processed videos/images in S3.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AI Pipeline with SQS and Step Functions.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Bedrock for AI feedback generation.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frontend (React/Next.js) to S3 + CloudFront.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n4pj3iqrmbor" w:id="12"/>
      <w:bookmarkEnd w:id="12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2.3 Project Plan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Agile methodology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 sprints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(2 weeks each):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AWS infrastructure setup (VPC, Subnets, IAM, S3, CloudFront, RDS).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Backend core – API Gateway, Lambda Auth &amp; Upload, Cognito integration.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AI Pipeline (SQS, Step Functions, Bedrock Endpoint).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Frontend development (Next.js), video upload, dashboard UI.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Frontend–Backend–AI integration, performance optimization.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testing, bug fixing, demo preparation, handover.</w:t>
        <w:br w:type="textWrapping"/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4rcqfh22mlzv" w:id="13"/>
      <w:bookmarkEnd w:id="13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2.4 Security Considerations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9ujpj96cp1y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Mandatory MFA for AWS account access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IAM role-based access control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cztovxfmsim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VPC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 Endpoints for S3 and Bedrock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cpixtn7wbiw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S3 encrypted using SSE-S3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RDS MySQL encrypted at rest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pacw354fpdro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Detection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CloudTrail enabled for all API calls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CloudWatch alarms for errors and cost thresholds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o2jvnsuwiag8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Incident Management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Runbook for AI Pipeline failures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rollback via CodeDeploy</w:t>
        <w:br w:type="textWrapping"/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bottom w:color="000000" w:space="0" w:sz="0" w:val="none"/>
        </w:pBdr>
        <w:spacing w:after="120" w:before="480" w:lineRule="auto"/>
        <w:ind w:left="0" w:firstLine="0"/>
        <w:rPr>
          <w:rFonts w:ascii="Times New Roman" w:cs="Times New Roman" w:eastAsia="Times New Roman" w:hAnsi="Times New Roman"/>
          <w:smallCaps w:val="0"/>
          <w:sz w:val="46"/>
          <w:szCs w:val="46"/>
        </w:rPr>
      </w:pPr>
      <w:bookmarkStart w:colFirst="0" w:colLast="0" w:name="_heading=h.uk917xe98muw" w:id="19"/>
      <w:bookmarkEnd w:id="19"/>
      <w:r w:rsidDel="00000000" w:rsidR="00000000" w:rsidRPr="00000000">
        <w:rPr>
          <w:rFonts w:ascii="Times New Roman" w:cs="Times New Roman" w:eastAsia="Times New Roman" w:hAnsi="Times New Roman"/>
          <w:smallCaps w:val="0"/>
          <w:sz w:val="46"/>
          <w:szCs w:val="46"/>
          <w:rtl w:val="0"/>
        </w:rPr>
        <w:t xml:space="preserve">3. ACTIVITIES AND DELIVERABLES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tdn31f42h48h" w:id="20"/>
      <w:bookmarkEnd w:id="20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3.1 Activities and Deliverables</w:t>
      </w:r>
    </w:p>
    <w:tbl>
      <w:tblPr>
        <w:tblStyle w:val="Table1"/>
        <w:tblW w:w="9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0"/>
        <w:gridCol w:w="1655"/>
        <w:gridCol w:w="3200"/>
        <w:gridCol w:w="1880"/>
        <w:gridCol w:w="950"/>
        <w:tblGridChange w:id="0">
          <w:tblGrid>
            <w:gridCol w:w="2270"/>
            <w:gridCol w:w="1655"/>
            <w:gridCol w:w="3200"/>
            <w:gridCol w:w="1880"/>
            <w:gridCol w:w="9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Timeline (Sprint)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Man-day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1–2 (Sprint 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gathering &amp; architecture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Architecture Draft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Setup Base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3–4 (Sprint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 VPC, IAM, RDS, S3, CloudFront, Endpoints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Infrastructure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Setup Backend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5–6 (Sprint 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Gateway, Lambda Auth &amp; Upload, Cognito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Core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Setup AI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7–8 (Sprint 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SQS, Step Functions, Bedrock 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Workflow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Frontend Dev +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9–10 (Sprint 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Next.js + Backend/AI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UI MVP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Testing &amp;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11–12 (Sprint 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testing &amp;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Go-live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of Week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&amp; knowledge transfer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mqjqoahslka8" w:id="21"/>
      <w:bookmarkEnd w:id="21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3.2 Out of Scope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Native mobile applications (iOS/Android).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NLP or custom AI model training.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payment gateway or real-world reward redemption system.</w:t>
        <w:br w:type="textWrapping"/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bw4ylpg0qfdr" w:id="22"/>
      <w:bookmarkEnd w:id="22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3.3 Path to Production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MVP includes essential features only.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 version will require advanced error handling, retry logic, autoscaling, and optimized CI/CD.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gamification features will be developed post-MVP.</w:t>
        <w:br w:type="textWrapping"/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bottom w:color="000000" w:space="0" w:sz="0" w:val="none"/>
        </w:pBdr>
        <w:spacing w:after="120" w:before="480" w:lineRule="auto"/>
        <w:ind w:left="0" w:firstLine="0"/>
        <w:rPr>
          <w:rFonts w:ascii="Times New Roman" w:cs="Times New Roman" w:eastAsia="Times New Roman" w:hAnsi="Times New Roman"/>
          <w:smallCaps w:val="0"/>
          <w:sz w:val="46"/>
          <w:szCs w:val="46"/>
        </w:rPr>
      </w:pPr>
      <w:bookmarkStart w:colFirst="0" w:colLast="0" w:name="_heading=h.7ahp7dahv2gj" w:id="23"/>
      <w:bookmarkEnd w:id="23"/>
      <w:r w:rsidDel="00000000" w:rsidR="00000000" w:rsidRPr="00000000">
        <w:rPr>
          <w:rFonts w:ascii="Times New Roman" w:cs="Times New Roman" w:eastAsia="Times New Roman" w:hAnsi="Times New Roman"/>
          <w:smallCaps w:val="0"/>
          <w:sz w:val="46"/>
          <w:szCs w:val="46"/>
          <w:rtl w:val="0"/>
        </w:rPr>
        <w:t xml:space="preserve">4. EXPECTED AWS COST BREAKDOWN BY SERVICES</w:t>
      </w:r>
    </w:p>
    <w:tbl>
      <w:tblPr>
        <w:tblStyle w:val="Table2"/>
        <w:tblW w:w="7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70"/>
        <w:gridCol w:w="4380"/>
        <w:tblGridChange w:id="0">
          <w:tblGrid>
            <w:gridCol w:w="3570"/>
            <w:gridCol w:w="4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AWS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Estimated Monthly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0.38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Bedrock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0.32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CloudFront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1.85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Cognito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 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0.51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6.12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RDS 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0–3 USD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Estimated Cost: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~10.7 – 12 USD / month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pBdr>
          <w:bottom w:color="000000" w:space="0" w:sz="0" w:val="none"/>
        </w:pBdr>
        <w:spacing w:after="120" w:before="480" w:lineRule="auto"/>
        <w:ind w:left="0" w:firstLine="0"/>
        <w:rPr>
          <w:rFonts w:ascii="Times New Roman" w:cs="Times New Roman" w:eastAsia="Times New Roman" w:hAnsi="Times New Roman"/>
          <w:smallCaps w:val="0"/>
          <w:sz w:val="46"/>
          <w:szCs w:val="46"/>
        </w:rPr>
      </w:pPr>
      <w:bookmarkStart w:colFirst="0" w:colLast="0" w:name="_heading=h.fl8npwvzqoou" w:id="24"/>
      <w:bookmarkEnd w:id="24"/>
      <w:r w:rsidDel="00000000" w:rsidR="00000000" w:rsidRPr="00000000">
        <w:rPr>
          <w:rFonts w:ascii="Times New Roman" w:cs="Times New Roman" w:eastAsia="Times New Roman" w:hAnsi="Times New Roman"/>
          <w:smallCaps w:val="0"/>
          <w:sz w:val="46"/>
          <w:szCs w:val="46"/>
          <w:rtl w:val="0"/>
        </w:rPr>
        <w:t xml:space="preserve">5. TEAM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llhwensgc9ee" w:id="25"/>
      <w:bookmarkEnd w:id="25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Partner Executive Sponsor</w:t>
      </w:r>
    </w:p>
    <w:tbl>
      <w:tblPr>
        <w:tblStyle w:val="Table3"/>
        <w:tblW w:w="6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"/>
        <w:gridCol w:w="1475"/>
        <w:gridCol w:w="2030"/>
        <w:gridCol w:w="1475"/>
        <w:tblGridChange w:id="0">
          <w:tblGrid>
            <w:gridCol w:w="1475"/>
            <w:gridCol w:w="1475"/>
            <w:gridCol w:w="2030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 be filled)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 be filled)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Sponsor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 be filled)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88hsk07mgx3i" w:id="26"/>
      <w:bookmarkEnd w:id="26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Project Stakeholders</w:t>
      </w:r>
    </w:p>
    <w:tbl>
      <w:tblPr>
        <w:tblStyle w:val="Table4"/>
        <w:tblW w:w="6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"/>
        <w:gridCol w:w="1475"/>
        <w:gridCol w:w="1895"/>
        <w:gridCol w:w="1475"/>
        <w:tblGridChange w:id="0">
          <w:tblGrid>
            <w:gridCol w:w="1475"/>
            <w:gridCol w:w="1475"/>
            <w:gridCol w:w="189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 be filled)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 be filled)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 be filled)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(To be filled)</w:t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vk2ns51w5nm4" w:id="27"/>
      <w:bookmarkEnd w:id="27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Partner Project Team</w:t>
      </w:r>
    </w:p>
    <w:tbl>
      <w:tblPr>
        <w:tblStyle w:val="Table5"/>
        <w:tblW w:w="8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5"/>
        <w:gridCol w:w="965"/>
        <w:gridCol w:w="695"/>
        <w:gridCol w:w="3500"/>
        <w:tblGridChange w:id="0">
          <w:tblGrid>
            <w:gridCol w:w="3125"/>
            <w:gridCol w:w="965"/>
            <w:gridCol w:w="695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Vũ Nhật Minh (Leader)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minhpvnse180448@fpt.edu.vn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Phan Minh Triết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trietpmse180036@fpt.edu.vn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Võ Thiên Phú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phuvo05kid@gmail.com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Văn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ducpvse181771@fpt.edu.vn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mallCaps w:val="0"/>
          <w:sz w:val="34"/>
          <w:szCs w:val="34"/>
        </w:rPr>
      </w:pPr>
      <w:bookmarkStart w:colFirst="0" w:colLast="0" w:name="_heading=h.y7740u58wfec" w:id="28"/>
      <w:bookmarkEnd w:id="28"/>
      <w:r w:rsidDel="00000000" w:rsidR="00000000" w:rsidRPr="00000000">
        <w:rPr>
          <w:rFonts w:ascii="Times New Roman" w:cs="Times New Roman" w:eastAsia="Times New Roman" w:hAnsi="Times New Roman"/>
          <w:smallCaps w:val="0"/>
          <w:sz w:val="34"/>
          <w:szCs w:val="34"/>
          <w:rtl w:val="0"/>
        </w:rPr>
        <w:t xml:space="preserve">Project Escalation Contacts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(To be filled)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pBdr>
          <w:bottom w:color="000000" w:space="0" w:sz="0" w:val="none"/>
        </w:pBdr>
        <w:spacing w:after="120" w:before="480" w:lineRule="auto"/>
        <w:ind w:left="0" w:firstLine="0"/>
        <w:rPr>
          <w:rFonts w:ascii="Times New Roman" w:cs="Times New Roman" w:eastAsia="Times New Roman" w:hAnsi="Times New Roman"/>
          <w:smallCaps w:val="0"/>
          <w:sz w:val="46"/>
          <w:szCs w:val="46"/>
        </w:rPr>
      </w:pPr>
      <w:bookmarkStart w:colFirst="0" w:colLast="0" w:name="_heading=h.1hofoc40jo0m" w:id="29"/>
      <w:bookmarkEnd w:id="29"/>
      <w:r w:rsidDel="00000000" w:rsidR="00000000" w:rsidRPr="00000000">
        <w:rPr>
          <w:rFonts w:ascii="Times New Roman" w:cs="Times New Roman" w:eastAsia="Times New Roman" w:hAnsi="Times New Roman"/>
          <w:smallCaps w:val="0"/>
          <w:sz w:val="46"/>
          <w:szCs w:val="46"/>
          <w:rtl w:val="0"/>
        </w:rPr>
        <w:t xml:space="preserve">6. RESOURCES &amp; COST ESTIMATES</w:t>
      </w:r>
    </w:p>
    <w:tbl>
      <w:tblPr>
        <w:tblStyle w:val="Table6"/>
        <w:tblW w:w="8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4490"/>
        <w:gridCol w:w="2030"/>
        <w:tblGridChange w:id="0">
          <w:tblGrid>
            <w:gridCol w:w="2075"/>
            <w:gridCol w:w="449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Rate (USD/Hour)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Architects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architecture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(Student Project)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Backend, AI pipeline, frontend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(Student Project)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pBdr>
          <w:bottom w:color="000000" w:space="0" w:sz="0" w:val="none"/>
        </w:pBdr>
        <w:spacing w:after="120" w:before="480" w:lineRule="auto"/>
        <w:ind w:left="0" w:firstLine="0"/>
        <w:rPr>
          <w:rFonts w:ascii="Times New Roman" w:cs="Times New Roman" w:eastAsia="Times New Roman" w:hAnsi="Times New Roman"/>
          <w:smallCaps w:val="0"/>
          <w:sz w:val="46"/>
          <w:szCs w:val="46"/>
        </w:rPr>
      </w:pPr>
      <w:bookmarkStart w:colFirst="0" w:colLast="0" w:name="_heading=h.n6en074qxt6b" w:id="30"/>
      <w:bookmarkEnd w:id="30"/>
      <w:r w:rsidDel="00000000" w:rsidR="00000000" w:rsidRPr="00000000">
        <w:rPr>
          <w:rFonts w:ascii="Times New Roman" w:cs="Times New Roman" w:eastAsia="Times New Roman" w:hAnsi="Times New Roman"/>
          <w:smallCaps w:val="0"/>
          <w:sz w:val="46"/>
          <w:szCs w:val="46"/>
          <w:rtl w:val="0"/>
        </w:rPr>
        <w:t xml:space="preserve">7. ACCEPTANCE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Upon completion of each project phase, the Provider will submit the corresponding deliverables along with an Acceptance Form. The Customer will review, evaluate, and/or test the deliverables within eight (8) business days to determine compliance with the acceptance criteria.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deliverables meet the criteria, the Customer will issue a written acceptance confirmation.</w:t>
        <w:br w:type="textWrapping"/>
        <w:t xml:space="preserve"> If not, the Customer will provide a Rejection Notice detailing the issues. The Provider will correct these issues and resubmit the deliverables for reevaluation. The Customer will review only the corrected items and any impacted areas.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Customer does not provide a Rejection Notice within the Acceptance Period, the deliverables will be considered accepted by default.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before="360" w:lineRule="auto"/>
      <w:ind w:left="432" w:hanging="432"/>
    </w:pPr>
    <w:rPr>
      <w:rFonts w:ascii="Calibri" w:cs="Calibri" w:eastAsia="Calibri" w:hAnsi="Calibri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left="576" w:hanging="576"/>
    </w:pPr>
    <w:rPr>
      <w:rFonts w:ascii="Calibri" w:cs="Calibri" w:eastAsia="Calibri" w:hAnsi="Calibri"/>
      <w:b w:val="1"/>
      <w:bCs w:val="1"/>
      <w:smallCap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323e4f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323e4f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H+dn5HE0uqPm236yIoi5zea7w==">CgMxLjAyDmguaHprajFvZm9mdWtoMg5oLjg0eXRzaHUwZnF6eDIOaC5nN2g3YW80eDlpNGoyDmgubWFzMHZvOGdnOGI4Mg5oLmJxaHlzMmE0cGFybDIOaC55a3V1NjR2MjhzejAyDmguNW9hcGU0NGY3cWtiMg5oLmd4dGd5bDU4MWpkNzINaC50YW93OWNkaTZxNDIOaC4xc3hxZGp3eHd1cDQyDmguaG1wczI3c3Z2MTF1Mg5oLmx3emkzeGd5YnFvNzIOaC5uNHBqM2lxcm1ib3IyDmguNHJjcWZoMjJtbHp2Mg5oLjE5dWpwajk2Y3AxeTIOaC5jenRvdnhmbXNpbTkyDmguMWNwaXh0bjd3Yml3Mg5oLnBhY3czNTRmcGRybzIOaC5vMmp2bnN1d2lhZzgyDmgudWs5MTd4ZTk4bXV3Mg5oLnRkbjMxZjQyaDQ4aDIOaC5tcWpxb2Foc2xrYTgyDmguYnc0eWxwZzBxZmRyMg5oLjdhaHA3ZGFodjJnajIOaC5mbDhucHd2enFvb3UyDmgubGxod2Vuc2djOWVlMg5oLjg4aHNrMDdtZ3gzaTIOaC52azJuczUxdzVubTQyDmgueTc3NDB1NTh3ZmVjMg5oLjFob2ZvYzQwam8wbTIOaC5uNmVuMDc0cXh0NmI4AHIhMXNVM3FTNzNGQkJ4bXdiME1WQVNEZkcwbVlfc1IwVU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