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450D9">
      <w:pPr>
        <w:spacing w:after="0" w:line="360" w:lineRule="auto"/>
        <w:contextualSpacing/>
        <w:rPr>
          <w:rFonts w:hint="eastAsia" w:ascii="宋体" w:hAnsi="宋体" w:eastAsia="宋体"/>
          <w:b/>
          <w:bCs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姓名：</w:t>
      </w:r>
      <w:r>
        <w:rPr>
          <w:rFonts w:hint="eastAsia" w:ascii="宋体" w:hAnsi="宋体" w:eastAsia="宋体"/>
          <w:b/>
          <w:bCs/>
          <w:color w:val="auto"/>
          <w:sz w:val="24"/>
          <w:lang w:val="en-US" w:eastAsia="zh-CN"/>
        </w:rPr>
        <w:t>王玲</w:t>
      </w:r>
    </w:p>
    <w:p w14:paraId="3C6E598B">
      <w:pPr>
        <w:spacing w:after="0" w:line="360" w:lineRule="auto"/>
        <w:contextualSpacing/>
        <w:rPr>
          <w:rFonts w:ascii="宋体" w:hAnsi="宋体" w:eastAsia="宋体"/>
          <w:b/>
          <w:bCs/>
          <w:color w:val="auto"/>
          <w:sz w:val="24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班级：</w:t>
      </w:r>
      <w:r>
        <w:rPr>
          <w:rFonts w:hint="default" w:ascii="宋体" w:hAnsi="宋体" w:eastAsia="宋体"/>
          <w:b/>
          <w:bCs/>
          <w:color w:val="auto"/>
          <w:sz w:val="24"/>
          <w:lang w:val="en-US"/>
        </w:rPr>
        <w:t>EMBA2024SZ2</w:t>
      </w:r>
    </w:p>
    <w:p w14:paraId="706E09A0">
      <w:pPr>
        <w:spacing w:after="0" w:line="360" w:lineRule="auto"/>
        <w:contextualSpacing/>
        <w:rPr>
          <w:rFonts w:hint="default" w:ascii="宋体" w:hAnsi="宋体" w:eastAsia="宋体"/>
          <w:b/>
          <w:bCs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课程：</w:t>
      </w:r>
      <w:r>
        <w:rPr>
          <w:rFonts w:hint="eastAsia" w:ascii="宋体" w:hAnsi="宋体" w:eastAsia="宋体"/>
          <w:b/>
          <w:bCs/>
          <w:color w:val="auto"/>
          <w:sz w:val="24"/>
          <w:lang w:val="en-US" w:eastAsia="zh-CN"/>
        </w:rPr>
        <w:t>数智时代的组织转型与变革</w:t>
      </w:r>
    </w:p>
    <w:p w14:paraId="4874410D">
      <w:pPr>
        <w:spacing w:after="0" w:line="360" w:lineRule="auto"/>
        <w:contextualSpacing/>
        <w:rPr>
          <w:rFonts w:ascii="宋体" w:hAnsi="宋体" w:eastAsia="宋体"/>
          <w:b/>
          <w:bCs/>
          <w:color w:val="auto"/>
          <w:sz w:val="24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----------------------------------------------------------</w:t>
      </w:r>
    </w:p>
    <w:p w14:paraId="4F00726D">
      <w:pPr>
        <w:spacing w:after="0" w:line="360" w:lineRule="auto"/>
        <w:contextualSpacing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</w:rPr>
        <w:t>作业题目：</w:t>
      </w:r>
    </w:p>
    <w:p w14:paraId="5EA90C0C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请每位同学完成一篇个人反思论文，在课堂内容中选出 1-2 个观点或框架，运用在课堂和讨论中所学的理论与知识，对同学所在（</w:t>
      </w:r>
      <w:bookmarkStart w:id="0" w:name="_GoBack"/>
      <w:bookmarkEnd w:id="0"/>
      <w:r>
        <w:rPr>
          <w:color w:val="auto"/>
        </w:rPr>
        <w:t>或曾经所在）公司的某一状况或问题展开分析讨论。（最少 1000 字，两倍行距，宋体四号字体）。希望同学能够针对所写公司或组织的文化、转型与变革的方面进行思考和分析，找出成功或失败的重要原因，并突出所学理论对实际工作的启示和意义。</w:t>
      </w:r>
    </w:p>
    <w:p w14:paraId="36686A81">
      <w:pPr>
        <w:spacing w:after="0" w:line="360" w:lineRule="auto"/>
        <w:contextualSpacing/>
        <w:rPr>
          <w:rFonts w:ascii="宋体" w:hAnsi="宋体" w:eastAsia="宋体"/>
          <w:color w:val="auto"/>
          <w:sz w:val="24"/>
        </w:rPr>
      </w:pPr>
    </w:p>
    <w:p w14:paraId="7D9654D5">
      <w:pPr>
        <w:spacing w:after="0" w:line="360" w:lineRule="auto"/>
        <w:contextualSpacing/>
        <w:rPr>
          <w:rFonts w:ascii="宋体" w:hAnsi="宋体" w:eastAsia="宋体"/>
          <w:color w:val="A6A6A6" w:themeColor="background1" w:themeShade="A6"/>
          <w:sz w:val="24"/>
        </w:rPr>
      </w:pPr>
    </w:p>
    <w:p w14:paraId="0B417774">
      <w:pPr>
        <w:spacing w:after="0" w:line="360" w:lineRule="auto"/>
        <w:contextualSpacing/>
        <w:rPr>
          <w:rFonts w:hint="eastAsia" w:ascii="宋体" w:hAnsi="宋体" w:eastAsia="宋体"/>
          <w:color w:val="A6A6A6" w:themeColor="background1" w:themeShade="A6"/>
          <w:sz w:val="24"/>
        </w:rPr>
      </w:pPr>
    </w:p>
    <w:p w14:paraId="4877DCFD">
      <w:pPr>
        <w:spacing w:after="0" w:line="360" w:lineRule="auto"/>
        <w:contextualSpacing/>
        <w:rPr>
          <w:rFonts w:hint="eastAsia" w:ascii="宋体" w:hAnsi="宋体" w:eastAsia="宋体"/>
          <w:color w:val="A6A6A6" w:themeColor="background1" w:themeShade="A6"/>
          <w:sz w:val="24"/>
        </w:rPr>
      </w:pPr>
    </w:p>
    <w:p w14:paraId="6C6E3880">
      <w:pPr>
        <w:spacing w:after="0" w:line="360" w:lineRule="auto"/>
        <w:contextualSpacing/>
        <w:rPr>
          <w:rFonts w:hint="eastAsia" w:ascii="宋体" w:hAnsi="宋体" w:eastAsia="宋体"/>
          <w:color w:val="A6A6A6" w:themeColor="background1" w:themeShade="A6"/>
          <w:sz w:val="24"/>
        </w:rPr>
      </w:pPr>
    </w:p>
    <w:p w14:paraId="38121BCA">
      <w:pPr>
        <w:spacing w:after="0" w:line="360" w:lineRule="auto"/>
        <w:contextualSpacing/>
        <w:rPr>
          <w:color w:val="auto"/>
          <w:sz w:val="24"/>
        </w:rPr>
      </w:pPr>
    </w:p>
    <w:p w14:paraId="51A077E6">
      <w:pPr>
        <w:spacing w:after="0" w:line="360" w:lineRule="auto"/>
        <w:contextualSpacing/>
        <w:rPr>
          <w:color w:val="auto"/>
          <w:sz w:val="24"/>
        </w:rPr>
      </w:pPr>
    </w:p>
    <w:p w14:paraId="5941CF54">
      <w:pPr>
        <w:spacing w:after="0" w:line="360" w:lineRule="auto"/>
        <w:contextualSpacing/>
        <w:rPr>
          <w:color w:val="auto"/>
          <w:sz w:val="24"/>
        </w:rPr>
      </w:pPr>
    </w:p>
    <w:p w14:paraId="56346332">
      <w:pPr>
        <w:spacing w:after="0" w:line="360" w:lineRule="auto"/>
        <w:contextualSpacing/>
        <w:rPr>
          <w:color w:val="auto"/>
          <w:sz w:val="24"/>
        </w:rPr>
      </w:pPr>
    </w:p>
    <w:p w14:paraId="2F2431C3">
      <w:pPr>
        <w:spacing w:after="0" w:line="360" w:lineRule="auto"/>
        <w:contextualSpacing/>
        <w:rPr>
          <w:color w:val="auto"/>
          <w:sz w:val="24"/>
        </w:rPr>
      </w:pPr>
    </w:p>
    <w:p w14:paraId="00404414">
      <w:pPr>
        <w:spacing w:after="0" w:line="360" w:lineRule="auto"/>
        <w:contextualSpacing/>
        <w:rPr>
          <w:color w:val="auto"/>
          <w:sz w:val="24"/>
        </w:rPr>
      </w:pPr>
    </w:p>
    <w:p w14:paraId="27483DCC">
      <w:pPr>
        <w:spacing w:after="0" w:line="360" w:lineRule="auto"/>
        <w:contextualSpacing/>
        <w:rPr>
          <w:color w:val="auto"/>
          <w:sz w:val="24"/>
        </w:rPr>
      </w:pPr>
    </w:p>
    <w:p w14:paraId="28B59F8F">
      <w:pPr>
        <w:pStyle w:val="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蜂群法则：AI 时代组织变革的自组织实践与思考</w:t>
      </w:r>
    </w:p>
    <w:p w14:paraId="511079A3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一、理论锚点：心智协同是 AI 时代最稀缺的能力</w:t>
      </w:r>
    </w:p>
    <w:p w14:paraId="1B6E64EF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忻榕教授在课程中提出了一个贯穿时代的管理特质框架：工业时代稀缺流程把控，互联网时代稀缺用户思维，数字时代稀缺灵活决策，而到了 AI 时代，真正稀缺的能力，是心智协同。</w:t>
      </w:r>
    </w:p>
    <w:p w14:paraId="469C5E85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本文选取《AI时代的变革与新机遇》中的"心智协同"与"人与 AI 的边界"作为两个核心框架，结合我创立 GenGrowth 的实践，探讨 AI 时代的组织变革应当如何展开。这两个框架并非彼此独立：心智协同是我们试图达到的状态，人与 AI 的边界是我们在实践中反复面对的核心命题。</w:t>
      </w:r>
    </w:p>
    <w:p w14:paraId="343E16A9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二、出发点：一次从零开始的组织变革实验</w:t>
      </w:r>
    </w:p>
    <w:p w14:paraId="271E4332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在创立 GenGrowth 之前，我曾经创立并管理一家约 200 人规模的 App 研发与发行公司。流程、层级、分工、考核——我熟悉那套组织运作的逻辑，也清楚它的天花板在哪里：人多了，协调成本会指数级上升，决策链拉长，执行层和信息层之间的摩擦越来越大。</w:t>
      </w:r>
    </w:p>
    <w:p w14:paraId="04FD1963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创立 GenGrowth，不是对上一家公司的延续，而是一次主动的重启。我认为，AI 时代对组织的要求已经发生了根本性的变化，而这恰好给了初创公司一个重新定义"公司是什么"的机会。出来创业，本身就是一次组织变革实验——不是在一个已有的组织里推动变革，而是从零开始，用 AI 时代的逻辑重建组织的 DNA。</w:t>
      </w:r>
    </w:p>
    <w:p w14:paraId="6285D7BD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核心命题只有一个：能不能让一个十人以内的团队，和一套 AI 工作流，协同出比两百人团队更清晰的结果？</w:t>
      </w:r>
    </w:p>
    <w:p w14:paraId="6DFF9524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三、组织形态的选择、文化底色与尚未验证的风险</w:t>
      </w:r>
    </w:p>
    <w:p w14:paraId="5BBCFBCA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这是我思考最久、目前仍在持续校准的问题。</w:t>
      </w:r>
    </w:p>
    <w:p w14:paraId="38347FAD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课程框架提出了多种组织形态：网络组织、平台组织、圈层组织、自组织，还有稻盛和夫的阿米巴模式（小单元独立核算、自负盈亏）。这些模型的出现早于 AI 时代，但我认为，它们的底层逻辑与 AI 原生团队的需求高度契合——去中心化、结果导向、人与责任直接挂钩。</w:t>
      </w:r>
    </w:p>
    <w:p w14:paraId="6BA1591B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就 GenGrowth 现阶段而言，我选择自组织作为基本形态。</w:t>
      </w:r>
    </w:p>
    <w:p w14:paraId="2666EC5B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没有固定的职能边界，没有自上而下的指令链，每个人围绕结果自主判断、自主执行，AI 工具放大个人能力。这与《失控》里描述的蜂群逻辑契合——没有中央指令，但有信息素；没有管理层，但有涌现出来的秩序。自组织不等于无序，它需要一套足够简单、足够稳定的规则作为底座。在 GenGrowth，这套规则体现在明确的 AI 工作流边界与协同治理机制上。</w:t>
      </w:r>
    </w:p>
    <w:p w14:paraId="56EB4D34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自组织能否运转，根本上取决于组织文化。我认为，AI 原生团队需要三种文化底色：</w:t>
      </w:r>
      <w:r>
        <w:rPr>
          <w:rStyle w:val="16"/>
          <w:color w:val="auto"/>
        </w:rPr>
        <w:t>结果信任</w:t>
      </w:r>
      <w:r>
        <w:rPr>
          <w:color w:val="auto"/>
        </w:rPr>
        <w:t>（以交付结果定义工作价值，不考核过程）、</w:t>
      </w:r>
      <w:r>
        <w:rPr>
          <w:rStyle w:val="16"/>
          <w:color w:val="auto"/>
        </w:rPr>
        <w:t>AI 信任</w:t>
      </w:r>
      <w:r>
        <w:rPr>
          <w:color w:val="auto"/>
        </w:rPr>
        <w:t>（真正相信 AI 可以承担决策，而不只是用它生成内容）、</w:t>
      </w:r>
      <w:r>
        <w:rPr>
          <w:rStyle w:val="16"/>
          <w:color w:val="auto"/>
        </w:rPr>
        <w:t>边界自觉</w:t>
      </w:r>
      <w:r>
        <w:rPr>
          <w:color w:val="auto"/>
        </w:rPr>
        <w:t>（每个人清楚自己与 AI 之间的协作线在哪里，不等待外部规定）。这三者缺一，自组织就会退化成无组织。</w:t>
      </w:r>
    </w:p>
    <w:p w14:paraId="4550BACC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GenGrowth 目前只有三人，但我们已经形成了明确的价值观文档，并在日常沟通中持续实践。这不是形式，而是自组织运转的基础设施——价值观是那套"足够简单、足够稳定的规则"最底层的表达，也是蜂群信息素的组织语言版本。没有价值观共识，自组织会因为每个人对"结果"的理解不一致而失效。</w:t>
      </w:r>
    </w:p>
    <w:p w14:paraId="0D9D90A8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然而，我需要诚实地承认目前尚未验证的风险：GenGrowth 的核心理念和关键判断，目前高度依赖创始人个人的认知。当团队从三五人扩展到十人，自组织的运转机制是否仍然有效，目前没有答案。此外，AI 工作流的治理框架虽然存在，但尚未被充分文档化和可转移，这是自组织在规模扩张时面临的真实挑战。</w:t>
      </w:r>
    </w:p>
    <w:p w14:paraId="50CE80D8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至于网络组织，我认为它更适合 GenGrowth 向外延展的阶段。当核心模型跑通，大概率会进入发行服务的布局——为个人开发者的增长和商业化负责，GenGrowth 成为枢纽节点，连接开发者与增长资源。届时，自组织的内核与网络组织的外延可以并存，共用同一套结果导向的底层规则。</w:t>
      </w:r>
    </w:p>
    <w:p w14:paraId="0E70B91E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四、人与 AI 的边界：AI 时代最核心的管理判断</w:t>
      </w:r>
    </w:p>
    <w:p w14:paraId="46AD1880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"你相信 AI 吗？"是用好 AI 的重要前提。不真正相信 AI 的团队，会在每个关键决策点退回旧习惯，AI 永远只是工具而非协作者。</w:t>
      </w:r>
    </w:p>
    <w:p w14:paraId="1DE15084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在 GenGrowth 的实践里，AI 已经可以承担绝大多数 HR 工作（考核评估、潜力发掘）、绝大多数业务分析与判断，以及执行层面的直接决策。以 GenGrowth 为例，100% 的代码、90% 以上的文档均由 AI 生成，人工调优后再生产。我认为，这些领域的 AI 替代不是趋势，已经是现实。</w:t>
      </w:r>
    </w:p>
    <w:p w14:paraId="00F753CD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AI 目前不能做的，是核心理念的定义与守护。GenGrowth 的核心理念是 Outcome-as-a-Service，即交付结果，而不是交付服务过程。但"什么是结果"、"怎么交付"、"哪些靠产品、哪些靠服务"——这些问题的答案，目前还在被实践持续校准中。AI 只能提供框架建议，以及在已知框架内优化，无法决定框架本身。这是当前人类判断不可替代的核心地带。</w:t>
      </w:r>
    </w:p>
    <w:p w14:paraId="7388AFC8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我认为，这个边界不是永久的。随着协同深度的积累、业务跑到足够规模，AI 对组织核心理念的理解会越来越精准。持续定义和调整这条边界，本身就是 AI 时代最核心的管理动作——它不是一次性的决策，而是需要持续运营的判断机制。</w:t>
      </w:r>
    </w:p>
    <w:p w14:paraId="151B8CF2">
      <w:pPr>
        <w:pStyle w:val="3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五、最难的协同：认知盲区与实践启示</w:t>
      </w:r>
    </w:p>
    <w:p w14:paraId="0427065A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实践下来，最难协同的不是 AI 的能力边界，而是我自己的认知边界。</w:t>
      </w:r>
    </w:p>
    <w:p w14:paraId="272C22FC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当我进入一个陌生领域，AI 接触到的公开信息无法给出正确的理解，解决不了真实的问题。不是因为 AI 不够聪明，而是因为真正的问题往往藏在公开信息触达不到的地方——在那些没有被记录、没有被系统化、只存在于具体实践和具体场景里的隐性知识中。这是心智协同真正的难点：人需要先建立足够的认知，才能有效引导 AI，而在陌生领域，这个前置条件往往不存在。</w:t>
      </w:r>
    </w:p>
    <w:p w14:paraId="554ADD1D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综合以上实践，我认为课程中这两个框架对实际组织管理有三点清晰的启示：</w:t>
      </w:r>
    </w:p>
    <w:p w14:paraId="022F849A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第一，心智协同不是口号，是需要被设计的机制。</w:t>
      </w:r>
      <w:r>
        <w:rPr>
          <w:color w:val="auto"/>
        </w:rPr>
        <w:t xml:space="preserve"> 它要求组织明确 AI 与人之间的协作规则，并把这套规则落地为可执行的工作流，而不是依赖个人觉悟。</w:t>
      </w:r>
    </w:p>
    <w:p w14:paraId="79D19657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第二，人与 AI 的边界是动态的，管理者的核心职责之一是持续定义这条线。</w:t>
      </w:r>
      <w:r>
        <w:rPr>
          <w:color w:val="auto"/>
        </w:rPr>
        <w:t xml:space="preserve"> 把边界固定下来是危险的；把边界完全交给市场自然演化也是危险的。需要主动管理。</w:t>
      </w:r>
    </w:p>
    <w:p w14:paraId="2CBAE8A9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rStyle w:val="16"/>
          <w:color w:val="auto"/>
        </w:rPr>
        <w:t>第三，AI 时代的组织文化，本质上是一种认知文化。</w:t>
      </w:r>
      <w:r>
        <w:rPr>
          <w:color w:val="auto"/>
        </w:rPr>
        <w:t xml:space="preserve"> 谁更善于在自己的认知边界和 AI 的信息边界之间找到协作空间，谁就拥有更强的组织竞争力。</w:t>
      </w:r>
    </w:p>
    <w:p w14:paraId="299AC1CA">
      <w:pPr>
        <w:pStyle w:val="12"/>
        <w:keepNext w:val="0"/>
        <w:keepLines w:val="0"/>
        <w:widowControl/>
        <w:suppressLineNumbers w:val="0"/>
        <w:rPr>
          <w:color w:val="auto"/>
        </w:rPr>
      </w:pPr>
      <w:r>
        <w:rPr>
          <w:color w:val="auto"/>
        </w:rPr>
        <w:t>答案还在路上。但每一次在认知盲区里与 AI 的较量和校准，都是在为"心智协同"这个命题积累证据。我认为，这本身就是 AI 时代最真实的管理实践——不是设计一个完美的组织结构，而是在不确定性里，持续找到人与 AI 协同的下一步。</w:t>
      </w:r>
    </w:p>
    <w:p w14:paraId="1BB6BEA9">
      <w:pPr>
        <w:spacing w:after="0" w:line="360" w:lineRule="auto"/>
        <w:contextualSpacing/>
        <w:rPr>
          <w:color w:val="auto"/>
          <w:sz w:val="24"/>
        </w:rPr>
      </w:pPr>
    </w:p>
    <w:p w14:paraId="0B251E61">
      <w:pPr>
        <w:spacing w:after="0" w:line="360" w:lineRule="auto"/>
        <w:contextualSpacing/>
        <w:rPr>
          <w:color w:val="auto"/>
          <w:sz w:val="24"/>
        </w:rPr>
      </w:pPr>
    </w:p>
    <w:p w14:paraId="069BEB0A">
      <w:pPr>
        <w:spacing w:after="0" w:line="360" w:lineRule="auto"/>
        <w:contextualSpacing/>
        <w:rPr>
          <w:color w:val="auto"/>
          <w:sz w:val="24"/>
        </w:rPr>
      </w:pPr>
    </w:p>
    <w:p w14:paraId="2AD32392">
      <w:pPr>
        <w:spacing w:after="0" w:line="360" w:lineRule="auto"/>
        <w:contextualSpacing/>
        <w:rPr>
          <w:color w:val="auto"/>
          <w:sz w:val="24"/>
        </w:rPr>
      </w:pPr>
    </w:p>
    <w:p w14:paraId="181FEC1C">
      <w:pPr>
        <w:spacing w:after="0" w:line="360" w:lineRule="auto"/>
        <w:contextualSpacing/>
        <w:rPr>
          <w:color w:val="auto"/>
          <w:sz w:val="24"/>
        </w:rPr>
      </w:pPr>
    </w:p>
    <w:p w14:paraId="62B41F85">
      <w:pPr>
        <w:spacing w:after="0" w:line="360" w:lineRule="auto"/>
        <w:contextualSpacing/>
        <w:rPr>
          <w:color w:val="auto"/>
          <w:sz w:val="24"/>
        </w:rPr>
      </w:pPr>
    </w:p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C15"/>
    <w:rsid w:val="000E100A"/>
    <w:rsid w:val="009E3572"/>
    <w:rsid w:val="00A61F93"/>
    <w:rsid w:val="00B84B57"/>
    <w:rsid w:val="00BD2038"/>
    <w:rsid w:val="00BE7C90"/>
    <w:rsid w:val="00DA53C7"/>
    <w:rsid w:val="00E16907"/>
    <w:rsid w:val="00ED2C15"/>
    <w:rsid w:val="BF9FFB94"/>
    <w:rsid w:val="FB7F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31</Words>
  <Characters>178</Characters>
  <Lines>1</Lines>
  <Paragraphs>1</Paragraphs>
  <TotalTime>41</TotalTime>
  <ScaleCrop>false</ScaleCrop>
  <LinksUpToDate>false</LinksUpToDate>
  <CharactersWithSpaces>208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2024-05-08T17:30:00Z</dcterms:created>
  <dc:creator>Chris ZHANG (EMBA)</dc:creator>
  <cp:lastModifiedBy>Lynne Wang</cp:lastModifiedBy>
  <dcterms:modified xsi:type="dcterms:W3CDTF">2026-05-06T03:26:13Z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972A9B4EAF559E9E4517FB694D21F96C_43</vt:lpwstr>
  </property>
</Properties>
</file>