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1450D9">
      <w:pPr>
        <w:spacing w:after="0" w:line="360" w:lineRule="auto"/>
        <w:contextualSpacing/>
        <w:rPr>
          <w:rFonts w:hint="eastAsia" w:ascii="宋体" w:hAnsi="宋体" w:eastAsia="宋体"/>
          <w:b/>
          <w:bCs/>
          <w:color w:val="auto"/>
          <w:sz w:val="24"/>
          <w:lang w:val="en-US" w:eastAsia="zh-CN"/>
        </w:rPr>
      </w:pPr>
      <w:bookmarkStart w:id="0" w:name="_GoBack"/>
      <w:r>
        <w:rPr>
          <w:rFonts w:hint="eastAsia" w:ascii="宋体" w:hAnsi="宋体" w:eastAsia="宋体"/>
          <w:b/>
          <w:bCs/>
          <w:color w:val="auto"/>
          <w:sz w:val="24"/>
        </w:rPr>
        <w:t>姓名：</w:t>
      </w:r>
      <w:r>
        <w:rPr>
          <w:rFonts w:hint="eastAsia" w:ascii="宋体" w:hAnsi="宋体" w:eastAsia="宋体"/>
          <w:b/>
          <w:bCs/>
          <w:color w:val="auto"/>
          <w:sz w:val="24"/>
          <w:lang w:val="en-US" w:eastAsia="zh-CN"/>
        </w:rPr>
        <w:t>王玲</w:t>
      </w:r>
    </w:p>
    <w:p w14:paraId="3C6E598B">
      <w:pPr>
        <w:spacing w:after="0" w:line="360" w:lineRule="auto"/>
        <w:contextualSpacing/>
        <w:rPr>
          <w:rFonts w:ascii="宋体" w:hAnsi="宋体" w:eastAsia="宋体"/>
          <w:b/>
          <w:bCs/>
          <w:color w:val="auto"/>
          <w:sz w:val="24"/>
        </w:rPr>
      </w:pPr>
      <w:r>
        <w:rPr>
          <w:rFonts w:hint="eastAsia" w:ascii="宋体" w:hAnsi="宋体" w:eastAsia="宋体"/>
          <w:b/>
          <w:bCs/>
          <w:color w:val="auto"/>
          <w:sz w:val="24"/>
        </w:rPr>
        <w:t>班级：</w:t>
      </w:r>
      <w:r>
        <w:rPr>
          <w:rFonts w:hint="default" w:ascii="宋体" w:hAnsi="宋体" w:eastAsia="宋体"/>
          <w:b/>
          <w:bCs/>
          <w:color w:val="auto"/>
          <w:sz w:val="24"/>
          <w:lang w:val="en-US"/>
        </w:rPr>
        <w:t>EMBA2024SZ2</w:t>
      </w:r>
    </w:p>
    <w:p w14:paraId="706E09A0">
      <w:pPr>
        <w:spacing w:after="0" w:line="360" w:lineRule="auto"/>
        <w:contextualSpacing/>
        <w:rPr>
          <w:rFonts w:hint="default" w:ascii="宋体" w:hAnsi="宋体" w:eastAsia="宋体"/>
          <w:b/>
          <w:bCs/>
          <w:color w:val="auto"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color w:val="auto"/>
          <w:sz w:val="24"/>
        </w:rPr>
        <w:t>课程：</w:t>
      </w:r>
      <w:r>
        <w:rPr>
          <w:rFonts w:hint="eastAsia" w:ascii="宋体" w:hAnsi="宋体" w:eastAsia="宋体"/>
          <w:b/>
          <w:bCs/>
          <w:color w:val="auto"/>
          <w:sz w:val="24"/>
          <w:lang w:val="en-US" w:eastAsia="zh-CN"/>
        </w:rPr>
        <w:t>战略管理</w:t>
      </w:r>
    </w:p>
    <w:p w14:paraId="4874410D">
      <w:pPr>
        <w:spacing w:after="0" w:line="360" w:lineRule="auto"/>
        <w:contextualSpacing/>
        <w:rPr>
          <w:rFonts w:ascii="宋体" w:hAnsi="宋体" w:eastAsia="宋体"/>
          <w:b/>
          <w:bCs/>
          <w:color w:val="auto"/>
          <w:sz w:val="24"/>
        </w:rPr>
      </w:pPr>
      <w:r>
        <w:rPr>
          <w:rFonts w:hint="eastAsia" w:ascii="宋体" w:hAnsi="宋体" w:eastAsia="宋体"/>
          <w:b/>
          <w:bCs/>
          <w:color w:val="auto"/>
          <w:sz w:val="24"/>
        </w:rPr>
        <w:t>----------------------------------------------------------</w:t>
      </w:r>
    </w:p>
    <w:p w14:paraId="4F00726D">
      <w:pPr>
        <w:spacing w:after="0" w:line="360" w:lineRule="auto"/>
        <w:contextualSpacing/>
        <w:rPr>
          <w:rFonts w:ascii="宋体" w:hAnsi="宋体" w:eastAsia="宋体"/>
          <w:color w:val="auto"/>
          <w:sz w:val="24"/>
        </w:rPr>
      </w:pPr>
      <w:r>
        <w:rPr>
          <w:rFonts w:hint="eastAsia" w:ascii="宋体" w:hAnsi="宋体" w:eastAsia="宋体"/>
          <w:color w:val="auto"/>
          <w:sz w:val="24"/>
        </w:rPr>
        <w:t>作业题目：</w:t>
      </w:r>
    </w:p>
    <w:p w14:paraId="6F5114A9">
      <w:pPr>
        <w:pStyle w:val="12"/>
        <w:keepNext w:val="0"/>
        <w:keepLines w:val="0"/>
        <w:widowControl/>
        <w:suppressLineNumbers w:val="0"/>
      </w:pPr>
      <w:r>
        <w:t>1.英伟达公司的核心竞争力是什么？英伟达应该在人工智能领域采取怎么样的战略？</w:t>
      </w:r>
      <w:r>
        <w:br w:type="textWrapping"/>
      </w:r>
      <w:r>
        <w:t>2.丹纳赫在公司层面上如何增长的？丹纳赫的收购策略和业务组合有什么特点？</w:t>
      </w:r>
      <w:r>
        <w:br w:type="textWrapping"/>
      </w:r>
      <w:r>
        <w:t>3.佳明在2008年面临的最严峻的挑战是什么？佳明应该如何应对这个挑战？</w:t>
      </w:r>
    </w:p>
    <w:p w14:paraId="6AB99BAD">
      <w:pPr>
        <w:pStyle w:val="12"/>
        <w:keepNext w:val="0"/>
        <w:keepLines w:val="0"/>
        <w:widowControl/>
        <w:suppressLineNumbers w:val="0"/>
        <w:rPr>
          <w:color w:val="auto"/>
        </w:rPr>
      </w:pPr>
    </w:p>
    <w:p w14:paraId="36686A81">
      <w:pPr>
        <w:spacing w:after="0" w:line="360" w:lineRule="auto"/>
        <w:contextualSpacing/>
        <w:rPr>
          <w:rFonts w:ascii="宋体" w:hAnsi="宋体" w:eastAsia="宋体"/>
          <w:color w:val="auto"/>
          <w:sz w:val="24"/>
        </w:rPr>
      </w:pPr>
    </w:p>
    <w:p w14:paraId="7D9654D5">
      <w:pPr>
        <w:spacing w:after="0" w:line="360" w:lineRule="auto"/>
        <w:contextualSpacing/>
        <w:rPr>
          <w:rFonts w:ascii="宋体" w:hAnsi="宋体" w:eastAsia="宋体"/>
          <w:color w:val="A6A6A6" w:themeColor="background1" w:themeShade="A6"/>
          <w:sz w:val="24"/>
        </w:rPr>
      </w:pPr>
    </w:p>
    <w:p w14:paraId="0B417774">
      <w:pPr>
        <w:spacing w:after="0" w:line="360" w:lineRule="auto"/>
        <w:contextualSpacing/>
        <w:rPr>
          <w:rFonts w:hint="eastAsia" w:ascii="宋体" w:hAnsi="宋体" w:eastAsia="宋体"/>
          <w:color w:val="A6A6A6" w:themeColor="background1" w:themeShade="A6"/>
          <w:sz w:val="24"/>
        </w:rPr>
      </w:pPr>
    </w:p>
    <w:p w14:paraId="4877DCFD">
      <w:pPr>
        <w:spacing w:after="0" w:line="360" w:lineRule="auto"/>
        <w:contextualSpacing/>
        <w:rPr>
          <w:rFonts w:hint="eastAsia" w:ascii="宋体" w:hAnsi="宋体" w:eastAsia="宋体"/>
          <w:color w:val="A6A6A6" w:themeColor="background1" w:themeShade="A6"/>
          <w:sz w:val="24"/>
        </w:rPr>
      </w:pPr>
    </w:p>
    <w:p w14:paraId="6C6E3880">
      <w:pPr>
        <w:spacing w:after="0" w:line="360" w:lineRule="auto"/>
        <w:contextualSpacing/>
        <w:rPr>
          <w:rFonts w:hint="eastAsia" w:ascii="宋体" w:hAnsi="宋体" w:eastAsia="宋体"/>
          <w:color w:val="A6A6A6" w:themeColor="background1" w:themeShade="A6"/>
          <w:sz w:val="24"/>
        </w:rPr>
      </w:pPr>
    </w:p>
    <w:p w14:paraId="38121BCA">
      <w:pPr>
        <w:spacing w:after="0" w:line="360" w:lineRule="auto"/>
        <w:contextualSpacing/>
        <w:rPr>
          <w:color w:val="auto"/>
          <w:sz w:val="24"/>
        </w:rPr>
      </w:pPr>
    </w:p>
    <w:p w14:paraId="51A077E6">
      <w:pPr>
        <w:spacing w:after="0" w:line="360" w:lineRule="auto"/>
        <w:contextualSpacing/>
        <w:rPr>
          <w:color w:val="auto"/>
          <w:sz w:val="24"/>
        </w:rPr>
      </w:pPr>
    </w:p>
    <w:p w14:paraId="5941CF54">
      <w:pPr>
        <w:spacing w:after="0" w:line="360" w:lineRule="auto"/>
        <w:contextualSpacing/>
        <w:rPr>
          <w:color w:val="auto"/>
          <w:sz w:val="24"/>
        </w:rPr>
      </w:pPr>
    </w:p>
    <w:p w14:paraId="56346332">
      <w:pPr>
        <w:spacing w:after="0" w:line="360" w:lineRule="auto"/>
        <w:contextualSpacing/>
        <w:rPr>
          <w:color w:val="auto"/>
          <w:sz w:val="24"/>
        </w:rPr>
      </w:pPr>
    </w:p>
    <w:p w14:paraId="2F2431C3">
      <w:pPr>
        <w:spacing w:after="0" w:line="360" w:lineRule="auto"/>
        <w:contextualSpacing/>
        <w:rPr>
          <w:color w:val="auto"/>
          <w:sz w:val="24"/>
        </w:rPr>
      </w:pPr>
    </w:p>
    <w:p w14:paraId="28B59F8F">
      <w:pPr>
        <w:pStyle w:val="2"/>
        <w:keepNext w:val="0"/>
        <w:keepLines w:val="0"/>
        <w:widowControl/>
        <w:suppressLineNumbers w:val="0"/>
        <w:rPr>
          <w:color w:val="auto"/>
        </w:rPr>
      </w:pPr>
    </w:p>
    <w:p w14:paraId="43B64BED">
      <w:pPr>
        <w:pStyle w:val="3"/>
        <w:keepNext w:val="0"/>
        <w:keepLines w:val="0"/>
        <w:widowControl/>
        <w:suppressLineNumbers w:val="0"/>
        <w:rPr>
          <w:color w:val="auto"/>
        </w:rPr>
      </w:pPr>
    </w:p>
    <w:p w14:paraId="511079A3">
      <w:pPr>
        <w:pStyle w:val="3"/>
        <w:keepNext w:val="0"/>
        <w:keepLines w:val="0"/>
        <w:widowControl/>
        <w:suppressLineNumbers w:val="0"/>
        <w:rPr>
          <w:rFonts w:hint="default" w:eastAsiaTheme="majorEastAsia"/>
          <w:color w:val="auto"/>
          <w:lang w:val="en-US" w:eastAsia="zh-CN"/>
        </w:rPr>
      </w:pPr>
      <w:r>
        <w:rPr>
          <w:color w:val="auto"/>
        </w:rPr>
        <w:t>一、</w:t>
      </w:r>
      <w:r>
        <w:rPr>
          <w:rFonts w:hint="eastAsia"/>
          <w:color w:val="auto"/>
          <w:lang w:val="en-US" w:eastAsia="zh-CN"/>
        </w:rPr>
        <w:t>英伟达案例</w:t>
      </w:r>
    </w:p>
    <w:p w14:paraId="469C5E85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忻榕教授</w:t>
      </w:r>
    </w:p>
    <w:p w14:paraId="343E16A9">
      <w:pPr>
        <w:pStyle w:val="3"/>
        <w:keepNext w:val="0"/>
        <w:keepLines w:val="0"/>
        <w:widowControl/>
        <w:suppressLineNumbers w:val="0"/>
        <w:rPr>
          <w:rFonts w:hint="default" w:eastAsiaTheme="majorEastAsia"/>
          <w:color w:val="auto"/>
          <w:lang w:val="en-US" w:eastAsia="zh-CN"/>
        </w:rPr>
      </w:pPr>
      <w:r>
        <w:rPr>
          <w:color w:val="auto"/>
        </w:rPr>
        <w:t>二、</w:t>
      </w:r>
      <w:r>
        <w:rPr>
          <w:rFonts w:hint="eastAsia"/>
          <w:color w:val="auto"/>
          <w:lang w:val="en-US" w:eastAsia="zh-CN"/>
        </w:rPr>
        <w:t>丹纳赫案例</w:t>
      </w:r>
    </w:p>
    <w:p w14:paraId="271E4332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在创立 GenGrowth 之前，我曾经创立并管理一家约 200 人规模的 App 研发与发行公司。流程、层级、分工、考核——我熟悉那套组织运作的逻辑，也清楚它的天花板在哪里：人多了，协调成本会指数级上升，决策链拉长，执行层和信息层之间的摩擦越来越大。</w:t>
      </w:r>
    </w:p>
    <w:p w14:paraId="04FD1963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创立 GenGrowth，不是对上一家公司的延续，而是一次主动的重启。我认为，AI 时代对组织的要求已经发生了根本性的变化，而这恰好给了初创公司一个重新定义"公司是什么"的机会。出来创业，本身就是一次组织变革实验——不是在一个已有的组织里推动变革，而是从零开始，用 AI 时代的逻辑重建组织的 DNA。</w:t>
      </w:r>
    </w:p>
    <w:p w14:paraId="6285D7BD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核心命题只有一个：能不能让一个十人以内的团队，和一套 AI 工作流，协同出比两百人团队更清晰的结果？</w:t>
      </w:r>
    </w:p>
    <w:p w14:paraId="6DFF9524">
      <w:pPr>
        <w:pStyle w:val="3"/>
        <w:keepNext w:val="0"/>
        <w:keepLines w:val="0"/>
        <w:widowControl/>
        <w:suppressLineNumbers w:val="0"/>
        <w:rPr>
          <w:rFonts w:hint="default" w:eastAsiaTheme="majorEastAsia"/>
          <w:color w:val="auto"/>
          <w:lang w:val="en-US" w:eastAsia="zh-CN"/>
        </w:rPr>
      </w:pPr>
      <w:r>
        <w:rPr>
          <w:color w:val="auto"/>
        </w:rPr>
        <w:t>三、</w:t>
      </w:r>
      <w:r>
        <w:rPr>
          <w:rFonts w:hint="eastAsia"/>
          <w:color w:val="auto"/>
          <w:lang w:val="en-US" w:eastAsia="zh-CN"/>
        </w:rPr>
        <w:t>佳明案例</w:t>
      </w:r>
    </w:p>
    <w:p w14:paraId="5BBCFBCA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这是我思考最久、目前仍在持续校准的问题。</w:t>
      </w:r>
    </w:p>
    <w:p w14:paraId="7388AFC8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课程框架提出了多种组织形态：网络组织、平台组织、圈层组织、自组织，还有稻盛和夫的阿米巴模式（小单元独立核算、自负盈亏）。这些模型的出现早于 AI 时代，但我</w:t>
      </w:r>
    </w:p>
    <w:p w14:paraId="151B8CF2">
      <w:pPr>
        <w:pStyle w:val="3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五、最难的协同：认知盲区与实践启示</w:t>
      </w:r>
    </w:p>
    <w:p w14:paraId="0427065A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实践下来，最难协同的不是 AI 的能力边界，而是我自己的认知边界。</w:t>
      </w:r>
    </w:p>
    <w:p w14:paraId="272C22FC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当我进入一个陌生领域，AI 接触到的公开信息无法给出正确的理解，解决不了真实的问题。不是因为 AI 不够聪明，而是因为真正的问题往往藏在公开信息触达不到的地方——在那些没有被记录、没有被系统化、只存在于具体实践和具体场景里的隐性知识中。这是心智协同真正的难点：人需要先建立足够的认知，才能有效引导 AI，而在陌生领域，这个前置条件往往不存在。</w:t>
      </w:r>
    </w:p>
    <w:p w14:paraId="554ADD1D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综合以上实践，我认为课程中这两个框架对实际组织管理有三点清晰的启示：</w:t>
      </w:r>
    </w:p>
    <w:p w14:paraId="022F849A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rStyle w:val="16"/>
          <w:color w:val="auto"/>
        </w:rPr>
        <w:t>第一，心智协同不是口号，是需要被设计的机制。</w:t>
      </w:r>
      <w:r>
        <w:rPr>
          <w:color w:val="auto"/>
        </w:rPr>
        <w:t xml:space="preserve"> 它要求组织明确 AI 与人之间的协作规则，并把这套规则落地为可执行的工作流，而不是依赖个人觉悟。</w:t>
      </w:r>
    </w:p>
    <w:p w14:paraId="79D19657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rStyle w:val="16"/>
          <w:color w:val="auto"/>
        </w:rPr>
        <w:t>第二，人与 AI 的边界是动态的，管理者的核心职责之一是持续定义这条线。</w:t>
      </w:r>
      <w:r>
        <w:rPr>
          <w:color w:val="auto"/>
        </w:rPr>
        <w:t xml:space="preserve"> 把边界固定下来是危险的；把边界完全交给市场自然演化也是危险的。需要主动管理。</w:t>
      </w:r>
    </w:p>
    <w:p w14:paraId="2CBAE8A9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rStyle w:val="16"/>
          <w:color w:val="auto"/>
        </w:rPr>
        <w:t>第三，AI 时代的组织文化，本质上是一种认知文化。</w:t>
      </w:r>
      <w:r>
        <w:rPr>
          <w:color w:val="auto"/>
        </w:rPr>
        <w:t xml:space="preserve"> 谁更善于在自己的认知边界和 AI 的信息边界之间找到协作空间，谁就拥有更强的组织竞争力。</w:t>
      </w:r>
    </w:p>
    <w:p w14:paraId="299AC1CA">
      <w:pPr>
        <w:pStyle w:val="12"/>
        <w:keepNext w:val="0"/>
        <w:keepLines w:val="0"/>
        <w:widowControl/>
        <w:suppressLineNumbers w:val="0"/>
        <w:rPr>
          <w:color w:val="auto"/>
        </w:rPr>
      </w:pPr>
      <w:r>
        <w:rPr>
          <w:color w:val="auto"/>
        </w:rPr>
        <w:t>答案还在路上。但每一次在认知盲区里与 AI 的较量和校准，都是在为"心智协同"这个命题积累证据。我认为，这本身就是 AI 时代最真实的管理实践——不是设计一个完美的组织结构，而是在不确定性里，持续找到人与 AI 协同的下一步。</w:t>
      </w:r>
    </w:p>
    <w:p w14:paraId="1BB6BEA9">
      <w:pPr>
        <w:spacing w:after="0" w:line="360" w:lineRule="auto"/>
        <w:contextualSpacing/>
        <w:rPr>
          <w:color w:val="auto"/>
          <w:sz w:val="24"/>
        </w:rPr>
      </w:pPr>
    </w:p>
    <w:p w14:paraId="0B251E61">
      <w:pPr>
        <w:spacing w:after="0" w:line="360" w:lineRule="auto"/>
        <w:contextualSpacing/>
        <w:rPr>
          <w:color w:val="auto"/>
          <w:sz w:val="24"/>
        </w:rPr>
      </w:pPr>
    </w:p>
    <w:p w14:paraId="069BEB0A">
      <w:pPr>
        <w:spacing w:after="0" w:line="360" w:lineRule="auto"/>
        <w:contextualSpacing/>
        <w:rPr>
          <w:color w:val="auto"/>
          <w:sz w:val="24"/>
        </w:rPr>
      </w:pPr>
    </w:p>
    <w:p w14:paraId="2AD32392">
      <w:pPr>
        <w:spacing w:after="0" w:line="360" w:lineRule="auto"/>
        <w:contextualSpacing/>
        <w:rPr>
          <w:color w:val="auto"/>
          <w:sz w:val="24"/>
        </w:rPr>
      </w:pPr>
    </w:p>
    <w:p w14:paraId="181FEC1C">
      <w:pPr>
        <w:spacing w:after="0" w:line="360" w:lineRule="auto"/>
        <w:contextualSpacing/>
        <w:rPr>
          <w:color w:val="auto"/>
          <w:sz w:val="24"/>
        </w:rPr>
      </w:pPr>
    </w:p>
    <w:p w14:paraId="62B41F85">
      <w:pPr>
        <w:spacing w:after="0" w:line="360" w:lineRule="auto"/>
        <w:contextualSpacing/>
        <w:rPr>
          <w:color w:val="auto"/>
          <w:sz w:val="24"/>
        </w:rPr>
      </w:pPr>
    </w:p>
    <w:bookmarkEnd w:id="0"/>
    <w:sectPr>
      <w:pgSz w:w="11906" w:h="16838"/>
      <w:pgMar w:top="1418" w:right="1418" w:bottom="1418" w:left="1418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 Light">
    <w:altName w:val="苹方-简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2C15"/>
    <w:rsid w:val="000E100A"/>
    <w:rsid w:val="009E3572"/>
    <w:rsid w:val="00A61F93"/>
    <w:rsid w:val="00B84B57"/>
    <w:rsid w:val="00BD2038"/>
    <w:rsid w:val="00BE7C90"/>
    <w:rsid w:val="00DA53C7"/>
    <w:rsid w:val="00E16907"/>
    <w:rsid w:val="00ED2C15"/>
    <w:rsid w:val="5F6C5F5B"/>
    <w:rsid w:val="A7FD6C3B"/>
    <w:rsid w:val="BF9FFB94"/>
    <w:rsid w:val="FB7F1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uiPriority w:val="1"/>
  </w:style>
  <w:style w:type="table" w:default="1" w:styleId="1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3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6">
    <w:name w:val="Strong"/>
    <w:basedOn w:val="15"/>
    <w:qFormat/>
    <w:uiPriority w:val="22"/>
    <w:rPr>
      <w:b/>
    </w:rPr>
  </w:style>
  <w:style w:type="character" w:customStyle="1" w:styleId="17">
    <w:name w:val="标题 1 字符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5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5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5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2">
    <w:name w:val="标题 6 字符"/>
    <w:basedOn w:val="15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5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5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5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5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5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明显引用 字符"/>
    <w:basedOn w:val="15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31</Words>
  <Characters>178</Characters>
  <Lines>1</Lines>
  <Paragraphs>1</Paragraphs>
  <TotalTime>58</TotalTime>
  <ScaleCrop>false</ScaleCrop>
  <LinksUpToDate>false</LinksUpToDate>
  <CharactersWithSpaces>208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2024-05-08T01:30:00Z</dcterms:created>
  <dc:creator>Chris ZHANG (EMBA)</dc:creator>
  <cp:lastModifiedBy>Lynne Wang</cp:lastModifiedBy>
  <dcterms:modified xsi:type="dcterms:W3CDTF">2026-05-16T11:15:53Z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2052-12.1.25867.25867</vt:lpwstr>
  </property>
  <property fmtid="{D5CDD505-2E9C-101B-9397-08002B2CF9AE}" pid="3" name="ICV">
    <vt:lpwstr>459A12E632BECF694CB3086A5B8120FB_43</vt:lpwstr>
  </property>
</Properties>
</file>