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CE6D" w14:textId="77777777" w:rsidR="006E58A0" w:rsidRDefault="006E58A0" w:rsidP="006E58A0">
      <w:pPr>
        <w:pStyle w:val="Heading3"/>
        <w:keepNext w:val="0"/>
        <w:keepLines w:val="0"/>
        <w:spacing w:before="0" w:after="0" w:line="312" w:lineRule="auto"/>
        <w:jc w:val="center"/>
        <w:rPr>
          <w:rFonts w:asciiTheme="majorHAnsi" w:eastAsia="Times New Roman" w:hAnsiTheme="majorHAnsi" w:cstheme="majorHAnsi"/>
          <w:b/>
          <w:color w:val="000000"/>
          <w:sz w:val="26"/>
          <w:szCs w:val="26"/>
          <w:lang w:val="vi-VN"/>
        </w:rPr>
      </w:pPr>
      <w:r>
        <w:rPr>
          <w:rFonts w:asciiTheme="majorHAnsi" w:eastAsia="Times New Roman" w:hAnsiTheme="majorHAnsi" w:cstheme="majorHAnsi"/>
          <w:b/>
          <w:color w:val="000000"/>
          <w:sz w:val="26"/>
          <w:szCs w:val="26"/>
        </w:rPr>
        <w:t>BANK</w:t>
      </w:r>
      <w:r>
        <w:rPr>
          <w:rFonts w:asciiTheme="majorHAnsi" w:eastAsia="Times New Roman" w:hAnsiTheme="majorHAnsi" w:cstheme="majorHAnsi"/>
          <w:b/>
          <w:color w:val="000000"/>
          <w:sz w:val="26"/>
          <w:szCs w:val="26"/>
          <w:lang w:val="vi-VN"/>
        </w:rPr>
        <w:t xml:space="preserve"> MARKETING CAMPAIGN ANALYSIS</w:t>
      </w:r>
    </w:p>
    <w:p w14:paraId="00000002" w14:textId="51E514FB"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r w:rsidRPr="006E58A0">
        <w:rPr>
          <w:rFonts w:asciiTheme="majorHAnsi" w:eastAsia="Times New Roman" w:hAnsiTheme="majorHAnsi" w:cstheme="majorHAnsi"/>
          <w:b/>
          <w:color w:val="000000"/>
          <w:sz w:val="26"/>
          <w:szCs w:val="26"/>
        </w:rPr>
        <w:t>Business Objective</w:t>
      </w:r>
    </w:p>
    <w:p w14:paraId="00000003"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sz w:val="26"/>
          <w:szCs w:val="26"/>
        </w:rPr>
        <w:t>To identify high-response demographic segments that can maximize the effectiveness of financial product marketing campaigns. The goal is to enhance conversion rates by refining audience targeting and campaign timing, based on behavioral and demographic data.</w:t>
      </w:r>
    </w:p>
    <w:p w14:paraId="00000004" w14:textId="77777777" w:rsidR="000D1422" w:rsidRPr="006E58A0" w:rsidRDefault="00000000" w:rsidP="006E58A0">
      <w:pPr>
        <w:pStyle w:val="Heading2"/>
        <w:keepNext w:val="0"/>
        <w:keepLines w:val="0"/>
        <w:spacing w:before="0" w:after="0" w:line="312" w:lineRule="auto"/>
        <w:jc w:val="both"/>
        <w:rPr>
          <w:rFonts w:asciiTheme="majorHAnsi" w:eastAsia="Times New Roman" w:hAnsiTheme="majorHAnsi" w:cstheme="majorHAnsi"/>
          <w:b/>
          <w:sz w:val="26"/>
          <w:szCs w:val="26"/>
        </w:rPr>
      </w:pPr>
      <w:bookmarkStart w:id="0" w:name="_6mxgxaoiyiec" w:colFirst="0" w:colLast="0"/>
      <w:bookmarkEnd w:id="0"/>
      <w:r w:rsidRPr="006E58A0">
        <w:rPr>
          <w:rFonts w:asciiTheme="majorHAnsi" w:eastAsia="Times New Roman" w:hAnsiTheme="majorHAnsi" w:cstheme="majorHAnsi"/>
          <w:b/>
          <w:sz w:val="26"/>
          <w:szCs w:val="26"/>
        </w:rPr>
        <w:t>Strategic Insights</w:t>
      </w:r>
    </w:p>
    <w:p w14:paraId="00000005" w14:textId="77777777" w:rsidR="000D1422" w:rsidRPr="006E58A0" w:rsidRDefault="00000000" w:rsidP="006E58A0">
      <w:pPr>
        <w:spacing w:line="312" w:lineRule="auto"/>
        <w:jc w:val="both"/>
        <w:rPr>
          <w:rFonts w:asciiTheme="majorHAnsi" w:eastAsia="Times New Roman" w:hAnsiTheme="majorHAnsi" w:cstheme="majorHAnsi"/>
          <w:i/>
          <w:sz w:val="26"/>
          <w:szCs w:val="26"/>
        </w:rPr>
      </w:pPr>
      <w:r w:rsidRPr="006E58A0">
        <w:rPr>
          <w:rFonts w:asciiTheme="majorHAnsi" w:eastAsia="Times New Roman" w:hAnsiTheme="majorHAnsi" w:cstheme="majorHAnsi"/>
          <w:i/>
          <w:sz w:val="26"/>
          <w:szCs w:val="26"/>
        </w:rPr>
        <w:t>The following insights are drawn from a multidimensional analysis of campaign dashboards (Power BI and Excel), including age, education, job type, contact method, campaign frequency, and temporal performance — with a focus on actionable, segment-level insights to optimize future outreach.</w:t>
      </w:r>
    </w:p>
    <w:p w14:paraId="00000006" w14:textId="77777777"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bookmarkStart w:id="1" w:name="_ih5e0lj13qap" w:colFirst="0" w:colLast="0"/>
      <w:bookmarkEnd w:id="1"/>
      <w:r w:rsidRPr="006E58A0">
        <w:rPr>
          <w:rFonts w:asciiTheme="majorHAnsi" w:eastAsia="Times New Roman" w:hAnsiTheme="majorHAnsi" w:cstheme="majorHAnsi"/>
          <w:b/>
          <w:color w:val="000000"/>
          <w:sz w:val="26"/>
          <w:szCs w:val="26"/>
        </w:rPr>
        <w:t>Insight 1: Customers aged &lt;25 show the highest response rates — driven by reactivity, not loyalty</w:t>
      </w:r>
    </w:p>
    <w:p w14:paraId="00000007"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Observation:</w:t>
      </w:r>
      <w:r w:rsidRPr="006E58A0">
        <w:rPr>
          <w:rFonts w:asciiTheme="majorHAnsi" w:eastAsia="Times New Roman" w:hAnsiTheme="majorHAnsi" w:cstheme="majorHAnsi"/>
          <w:sz w:val="26"/>
          <w:szCs w:val="26"/>
        </w:rPr>
        <w:t xml:space="preserve"> The under-25 age group yields the highest response rate (~24%), far surpassing all other age brackets.</w:t>
      </w:r>
    </w:p>
    <w:p w14:paraId="00000008"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Interpretation:</w:t>
      </w:r>
      <w:r w:rsidRPr="006E58A0">
        <w:rPr>
          <w:rFonts w:asciiTheme="majorHAnsi" w:eastAsia="Times New Roman" w:hAnsiTheme="majorHAnsi" w:cstheme="majorHAnsi"/>
          <w:sz w:val="26"/>
          <w:szCs w:val="26"/>
        </w:rPr>
        <w:t xml:space="preserve"> These customers are likely highly active digitally and prone to quick reactions, but their responses may be impulsive rather than indicative of long-term commitment.</w:t>
      </w:r>
    </w:p>
    <w:p w14:paraId="00000009"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Implication:</w:t>
      </w:r>
      <w:r w:rsidRPr="006E58A0">
        <w:rPr>
          <w:rFonts w:asciiTheme="majorHAnsi" w:eastAsia="Times New Roman" w:hAnsiTheme="majorHAnsi" w:cstheme="majorHAnsi"/>
          <w:sz w:val="26"/>
          <w:szCs w:val="26"/>
        </w:rPr>
        <w:t xml:space="preserve"> Campaigns targeting this group should prioritize immediacy and mobile/social media engagement but include mechanisms to prevent early churn post-conversion.</w:t>
      </w:r>
    </w:p>
    <w:p w14:paraId="0000000A" w14:textId="77777777"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bookmarkStart w:id="2" w:name="_2vbrxzie4a4n" w:colFirst="0" w:colLast="0"/>
      <w:bookmarkEnd w:id="2"/>
      <w:r w:rsidRPr="006E58A0">
        <w:rPr>
          <w:rFonts w:asciiTheme="majorHAnsi" w:eastAsia="Gungsuh" w:hAnsiTheme="majorHAnsi" w:cstheme="majorHAnsi"/>
          <w:b/>
          <w:color w:val="000000"/>
          <w:sz w:val="26"/>
          <w:szCs w:val="26"/>
        </w:rPr>
        <w:t>Insight 2: Customers aged ≥55 respond strongly — driven by financial motivation, not digital fluency</w:t>
      </w:r>
    </w:p>
    <w:p w14:paraId="0000000B"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Observation:</w:t>
      </w:r>
      <w:r w:rsidRPr="006E58A0">
        <w:rPr>
          <w:rFonts w:asciiTheme="majorHAnsi" w:eastAsia="Times New Roman" w:hAnsiTheme="majorHAnsi" w:cstheme="majorHAnsi"/>
          <w:sz w:val="26"/>
          <w:szCs w:val="26"/>
        </w:rPr>
        <w:t xml:space="preserve"> The 55+ segment demonstrates the second-highest response rate (~18.8%).</w:t>
      </w:r>
    </w:p>
    <w:p w14:paraId="0000000C"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Interpretation:</w:t>
      </w:r>
      <w:r w:rsidRPr="006E58A0">
        <w:rPr>
          <w:rFonts w:asciiTheme="majorHAnsi" w:eastAsia="Times New Roman" w:hAnsiTheme="majorHAnsi" w:cstheme="majorHAnsi"/>
          <w:sz w:val="26"/>
          <w:szCs w:val="26"/>
        </w:rPr>
        <w:t xml:space="preserve"> This cohort likely seeks safe, value-oriented financial products (e.g., savings, retirement) and responds well to traditional channels despite lower digital adoption.</w:t>
      </w:r>
    </w:p>
    <w:p w14:paraId="0000000D"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Implication:</w:t>
      </w:r>
      <w:r w:rsidRPr="006E58A0">
        <w:rPr>
          <w:rFonts w:asciiTheme="majorHAnsi" w:eastAsia="Times New Roman" w:hAnsiTheme="majorHAnsi" w:cstheme="majorHAnsi"/>
          <w:sz w:val="26"/>
          <w:szCs w:val="26"/>
        </w:rPr>
        <w:t xml:space="preserve"> A high-potential audience when approached through trust-based communication and conventional outreach such as calls or in-person advisory.</w:t>
      </w:r>
    </w:p>
    <w:p w14:paraId="0000000E" w14:textId="77777777"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bookmarkStart w:id="3" w:name="_zatdttf411" w:colFirst="0" w:colLast="0"/>
      <w:bookmarkEnd w:id="3"/>
      <w:r w:rsidRPr="006E58A0">
        <w:rPr>
          <w:rFonts w:asciiTheme="majorHAnsi" w:eastAsia="Times New Roman" w:hAnsiTheme="majorHAnsi" w:cstheme="majorHAnsi"/>
          <w:b/>
          <w:color w:val="000000"/>
          <w:sz w:val="26"/>
          <w:szCs w:val="26"/>
        </w:rPr>
        <w:t>Insight 3: University graduates dominate volume — but not necessarily conversion efficiency</w:t>
      </w:r>
    </w:p>
    <w:p w14:paraId="0000000F"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Observation:</w:t>
      </w:r>
      <w:r w:rsidRPr="006E58A0">
        <w:rPr>
          <w:rFonts w:asciiTheme="majorHAnsi" w:eastAsia="Times New Roman" w:hAnsiTheme="majorHAnsi" w:cstheme="majorHAnsi"/>
          <w:sz w:val="26"/>
          <w:szCs w:val="26"/>
        </w:rPr>
        <w:t xml:space="preserve"> Customers with university degrees represent 29.5% of total responses. However, high school and lower education levels also account for strong shares (14.7% and 23.1%, respectively).</w:t>
      </w:r>
    </w:p>
    <w:p w14:paraId="00000010"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lastRenderedPageBreak/>
        <w:t>Interpretation:</w:t>
      </w:r>
      <w:r w:rsidRPr="006E58A0">
        <w:rPr>
          <w:rFonts w:asciiTheme="majorHAnsi" w:eastAsia="Times New Roman" w:hAnsiTheme="majorHAnsi" w:cstheme="majorHAnsi"/>
          <w:sz w:val="26"/>
          <w:szCs w:val="26"/>
        </w:rPr>
        <w:t xml:space="preserve"> Although educated users respond more frequently, less-saturated segments with medium education levels may offer untapped potential and lower messaging fatigue.</w:t>
      </w:r>
    </w:p>
    <w:p w14:paraId="00000011"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Implication:</w:t>
      </w:r>
      <w:r w:rsidRPr="006E58A0">
        <w:rPr>
          <w:rFonts w:asciiTheme="majorHAnsi" w:eastAsia="Times New Roman" w:hAnsiTheme="majorHAnsi" w:cstheme="majorHAnsi"/>
          <w:sz w:val="26"/>
          <w:szCs w:val="26"/>
        </w:rPr>
        <w:t xml:space="preserve"> Diversify targeting beyond high-education segments to boost efficiency in underutilized, less competitive clusters.</w:t>
      </w:r>
    </w:p>
    <w:p w14:paraId="00000012" w14:textId="77777777"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bookmarkStart w:id="4" w:name="_ilk6l3z5hd7o" w:colFirst="0" w:colLast="0"/>
      <w:bookmarkEnd w:id="4"/>
      <w:r w:rsidRPr="006E58A0">
        <w:rPr>
          <w:rFonts w:asciiTheme="majorHAnsi" w:eastAsia="Times New Roman" w:hAnsiTheme="majorHAnsi" w:cstheme="majorHAnsi"/>
          <w:b/>
          <w:color w:val="000000"/>
          <w:sz w:val="26"/>
          <w:szCs w:val="26"/>
        </w:rPr>
        <w:t>Insight 4: Administrative and blue-collar workers drive response volume — but require differentiated timing</w:t>
      </w:r>
    </w:p>
    <w:p w14:paraId="00000013"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Observation:</w:t>
      </w:r>
      <w:r w:rsidRPr="006E58A0">
        <w:rPr>
          <w:rFonts w:asciiTheme="majorHAnsi" w:eastAsia="Times New Roman" w:hAnsiTheme="majorHAnsi" w:cstheme="majorHAnsi"/>
          <w:sz w:val="26"/>
          <w:szCs w:val="26"/>
        </w:rPr>
        <w:t xml:space="preserve"> Admin (25.3%) and blue-collar workers (22.5%) jointly represent nearly half of campaign responses.</w:t>
      </w:r>
    </w:p>
    <w:p w14:paraId="00000014"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Interpretation:</w:t>
      </w:r>
      <w:r w:rsidRPr="006E58A0">
        <w:rPr>
          <w:rFonts w:asciiTheme="majorHAnsi" w:eastAsia="Times New Roman" w:hAnsiTheme="majorHAnsi" w:cstheme="majorHAnsi"/>
          <w:sz w:val="26"/>
          <w:szCs w:val="26"/>
        </w:rPr>
        <w:t xml:space="preserve"> Admins may be easier to reach during office hours, while blue-collar workers respond better in flexible windows (e.g., evenings or weekends).</w:t>
      </w:r>
    </w:p>
    <w:p w14:paraId="00000015"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Implication:</w:t>
      </w:r>
      <w:r w:rsidRPr="006E58A0">
        <w:rPr>
          <w:rFonts w:asciiTheme="majorHAnsi" w:eastAsia="Times New Roman" w:hAnsiTheme="majorHAnsi" w:cstheme="majorHAnsi"/>
          <w:sz w:val="26"/>
          <w:szCs w:val="26"/>
        </w:rPr>
        <w:t xml:space="preserve"> Tailor campaign timing and scripts to fit occupational routines, increasing response probability through behavioral alignment.</w:t>
      </w:r>
    </w:p>
    <w:p w14:paraId="00000016" w14:textId="77777777"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bookmarkStart w:id="5" w:name="_hk9o2youxh00" w:colFirst="0" w:colLast="0"/>
      <w:bookmarkEnd w:id="5"/>
      <w:r w:rsidRPr="006E58A0">
        <w:rPr>
          <w:rFonts w:asciiTheme="majorHAnsi" w:eastAsia="Times New Roman" w:hAnsiTheme="majorHAnsi" w:cstheme="majorHAnsi"/>
          <w:b/>
          <w:color w:val="000000"/>
          <w:sz w:val="26"/>
          <w:szCs w:val="26"/>
        </w:rPr>
        <w:t>Insight 5: Call duration &gt;400s is a conversion threshold — shorter calls underperform</w:t>
      </w:r>
    </w:p>
    <w:p w14:paraId="00000017"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Observation:</w:t>
      </w:r>
      <w:r w:rsidRPr="006E58A0">
        <w:rPr>
          <w:rFonts w:asciiTheme="majorHAnsi" w:eastAsia="Times New Roman" w:hAnsiTheme="majorHAnsi" w:cstheme="majorHAnsi"/>
          <w:sz w:val="26"/>
          <w:szCs w:val="26"/>
        </w:rPr>
        <w:t xml:space="preserve"> Calls longer than 400 seconds lead to significantly higher response rates (~38%), while calls &lt;200 seconds yield &lt;5%.</w:t>
      </w:r>
    </w:p>
    <w:p w14:paraId="00000018"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Interpretation:</w:t>
      </w:r>
      <w:r w:rsidRPr="006E58A0">
        <w:rPr>
          <w:rFonts w:asciiTheme="majorHAnsi" w:eastAsia="Times New Roman" w:hAnsiTheme="majorHAnsi" w:cstheme="majorHAnsi"/>
          <w:sz w:val="26"/>
          <w:szCs w:val="26"/>
        </w:rPr>
        <w:t xml:space="preserve"> Long calls allow space to build trust, resolve objections, and explain product value—while short calls are likely perceived as rushed or transactional.</w:t>
      </w:r>
    </w:p>
    <w:p w14:paraId="00000019"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Implication:</w:t>
      </w:r>
      <w:r w:rsidRPr="006E58A0">
        <w:rPr>
          <w:rFonts w:asciiTheme="majorHAnsi" w:eastAsia="Times New Roman" w:hAnsiTheme="majorHAnsi" w:cstheme="majorHAnsi"/>
          <w:sz w:val="26"/>
          <w:szCs w:val="26"/>
        </w:rPr>
        <w:t xml:space="preserve"> Prioritize meaningful, high-quality interactions over high-volume cold calls. Train telesales staff to manage deeper, more consultative conversations.</w:t>
      </w:r>
    </w:p>
    <w:p w14:paraId="0000001A" w14:textId="77777777"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bookmarkStart w:id="6" w:name="_r441lt2uwb5" w:colFirst="0" w:colLast="0"/>
      <w:bookmarkEnd w:id="6"/>
      <w:r w:rsidRPr="006E58A0">
        <w:rPr>
          <w:rFonts w:asciiTheme="majorHAnsi" w:eastAsia="Times New Roman" w:hAnsiTheme="majorHAnsi" w:cstheme="majorHAnsi"/>
          <w:b/>
          <w:color w:val="000000"/>
          <w:sz w:val="26"/>
          <w:szCs w:val="26"/>
        </w:rPr>
        <w:t>Insight 6: Mobile contact vastly outperforms landline — responsiveness signals availability</w:t>
      </w:r>
    </w:p>
    <w:p w14:paraId="0000001B"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Observation:</w:t>
      </w:r>
      <w:r w:rsidRPr="006E58A0">
        <w:rPr>
          <w:rFonts w:asciiTheme="majorHAnsi" w:eastAsia="Times New Roman" w:hAnsiTheme="majorHAnsi" w:cstheme="majorHAnsi"/>
          <w:sz w:val="26"/>
          <w:szCs w:val="26"/>
        </w:rPr>
        <w:t xml:space="preserve"> Cellular phone contacts yield significantly higher conversion rates than landline contacts.</w:t>
      </w:r>
    </w:p>
    <w:p w14:paraId="0000001C"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Interpretation:</w:t>
      </w:r>
      <w:r w:rsidRPr="006E58A0">
        <w:rPr>
          <w:rFonts w:asciiTheme="majorHAnsi" w:eastAsia="Times New Roman" w:hAnsiTheme="majorHAnsi" w:cstheme="majorHAnsi"/>
          <w:sz w:val="26"/>
          <w:szCs w:val="26"/>
        </w:rPr>
        <w:t xml:space="preserve"> Mobile users are more accessible, responsive, and accustomed to real-time interaction, unlike traditional landline users.</w:t>
      </w:r>
    </w:p>
    <w:p w14:paraId="0000001D"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Implication:</w:t>
      </w:r>
      <w:r w:rsidRPr="006E58A0">
        <w:rPr>
          <w:rFonts w:asciiTheme="majorHAnsi" w:eastAsia="Times New Roman" w:hAnsiTheme="majorHAnsi" w:cstheme="majorHAnsi"/>
          <w:sz w:val="26"/>
          <w:szCs w:val="26"/>
        </w:rPr>
        <w:t xml:space="preserve"> Prioritize contact datasets with mobile numbers for all outbound communication to boost reach and engagement.</w:t>
      </w:r>
    </w:p>
    <w:p w14:paraId="0000001E" w14:textId="77777777"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bookmarkStart w:id="7" w:name="_xkhc7xibmf4k" w:colFirst="0" w:colLast="0"/>
      <w:bookmarkEnd w:id="7"/>
      <w:r w:rsidRPr="006E58A0">
        <w:rPr>
          <w:rFonts w:asciiTheme="majorHAnsi" w:eastAsia="Times New Roman" w:hAnsiTheme="majorHAnsi" w:cstheme="majorHAnsi"/>
          <w:b/>
          <w:color w:val="000000"/>
          <w:sz w:val="26"/>
          <w:szCs w:val="26"/>
        </w:rPr>
        <w:t>Insight 7: March, September, and October are the top-performing campaign months</w:t>
      </w:r>
    </w:p>
    <w:p w14:paraId="0000001F"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Observation:</w:t>
      </w:r>
      <w:r w:rsidRPr="006E58A0">
        <w:rPr>
          <w:rFonts w:asciiTheme="majorHAnsi" w:eastAsia="Times New Roman" w:hAnsiTheme="majorHAnsi" w:cstheme="majorHAnsi"/>
          <w:sz w:val="26"/>
          <w:szCs w:val="26"/>
        </w:rPr>
        <w:t xml:space="preserve"> Response rates peak in March (51%), September (45%), and October (44%).</w:t>
      </w:r>
    </w:p>
    <w:p w14:paraId="00000020"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Interpretation:</w:t>
      </w:r>
      <w:r w:rsidRPr="006E58A0">
        <w:rPr>
          <w:rFonts w:asciiTheme="majorHAnsi" w:eastAsia="Times New Roman" w:hAnsiTheme="majorHAnsi" w:cstheme="majorHAnsi"/>
          <w:sz w:val="26"/>
          <w:szCs w:val="26"/>
        </w:rPr>
        <w:t xml:space="preserve"> These months may align with seasonal financial planning or psychological momentum (e.g., Q1 planning, post-summer budgeting, pre-Q4 investments).</w:t>
      </w:r>
    </w:p>
    <w:p w14:paraId="00000021"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lastRenderedPageBreak/>
        <w:t>Implication:</w:t>
      </w:r>
      <w:r w:rsidRPr="006E58A0">
        <w:rPr>
          <w:rFonts w:asciiTheme="majorHAnsi" w:eastAsia="Times New Roman" w:hAnsiTheme="majorHAnsi" w:cstheme="majorHAnsi"/>
          <w:sz w:val="26"/>
          <w:szCs w:val="26"/>
        </w:rPr>
        <w:t xml:space="preserve"> Concentrate budget and launch critical campaigns during these seasonal sweet spots to capitalize on heightened readiness to act.</w:t>
      </w:r>
    </w:p>
    <w:p w14:paraId="00000022" w14:textId="77777777"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bookmarkStart w:id="8" w:name="_qpgtqy7j0tn4" w:colFirst="0" w:colLast="0"/>
      <w:bookmarkEnd w:id="8"/>
      <w:r w:rsidRPr="006E58A0">
        <w:rPr>
          <w:rFonts w:asciiTheme="majorHAnsi" w:eastAsia="Times New Roman" w:hAnsiTheme="majorHAnsi" w:cstheme="majorHAnsi"/>
          <w:b/>
          <w:color w:val="000000"/>
          <w:sz w:val="26"/>
          <w:szCs w:val="26"/>
        </w:rPr>
        <w:t>Insight 8: Conversion rates drop after the third campaign — diminishing returns beyond three touchpoints</w:t>
      </w:r>
    </w:p>
    <w:p w14:paraId="00000023"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Observation:</w:t>
      </w:r>
      <w:r w:rsidRPr="006E58A0">
        <w:rPr>
          <w:rFonts w:asciiTheme="majorHAnsi" w:eastAsia="Times New Roman" w:hAnsiTheme="majorHAnsi" w:cstheme="majorHAnsi"/>
          <w:sz w:val="26"/>
          <w:szCs w:val="26"/>
        </w:rPr>
        <w:t xml:space="preserve"> Highest conversion rates are recorded within the first 1–3 campaign touches (~11–13%). From the fourth campaign onward, response rates drop significantly—especially beyond six touches, falling below 10%.</w:t>
      </w:r>
    </w:p>
    <w:p w14:paraId="00000024"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Interpretation:</w:t>
      </w:r>
      <w:r w:rsidRPr="006E58A0">
        <w:rPr>
          <w:rFonts w:asciiTheme="majorHAnsi" w:eastAsia="Times New Roman" w:hAnsiTheme="majorHAnsi" w:cstheme="majorHAnsi"/>
          <w:sz w:val="26"/>
          <w:szCs w:val="26"/>
        </w:rPr>
        <w:t xml:space="preserve"> Customers respond early when relevance is high. Repeated exposure without perceived novelty leads to message fatigue or disengagement.</w:t>
      </w:r>
    </w:p>
    <w:p w14:paraId="00000025"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b/>
          <w:sz w:val="26"/>
          <w:szCs w:val="26"/>
        </w:rPr>
        <w:t>Implication:</w:t>
      </w:r>
      <w:r w:rsidRPr="006E58A0">
        <w:rPr>
          <w:rFonts w:asciiTheme="majorHAnsi" w:eastAsia="Times New Roman" w:hAnsiTheme="majorHAnsi" w:cstheme="majorHAnsi"/>
          <w:sz w:val="26"/>
          <w:szCs w:val="26"/>
        </w:rPr>
        <w:t xml:space="preserve"> Campaign effectiveness decays with overexposure. Strategic sequencing and personalization in the early campaigns is key to conversion.</w:t>
      </w:r>
    </w:p>
    <w:p w14:paraId="00000026" w14:textId="77777777" w:rsidR="000D1422" w:rsidRPr="006E58A0" w:rsidRDefault="00000000" w:rsidP="006E58A0">
      <w:pPr>
        <w:pStyle w:val="Heading2"/>
        <w:keepNext w:val="0"/>
        <w:keepLines w:val="0"/>
        <w:spacing w:before="0" w:after="0" w:line="312" w:lineRule="auto"/>
        <w:jc w:val="both"/>
        <w:rPr>
          <w:rFonts w:asciiTheme="majorHAnsi" w:eastAsia="Times New Roman" w:hAnsiTheme="majorHAnsi" w:cstheme="majorHAnsi"/>
          <w:b/>
          <w:sz w:val="26"/>
          <w:szCs w:val="26"/>
        </w:rPr>
      </w:pPr>
      <w:bookmarkStart w:id="9" w:name="_5vdb03cmk5r9" w:colFirst="0" w:colLast="0"/>
      <w:bookmarkEnd w:id="9"/>
      <w:r w:rsidRPr="006E58A0">
        <w:rPr>
          <w:rFonts w:asciiTheme="majorHAnsi" w:eastAsia="Times New Roman" w:hAnsiTheme="majorHAnsi" w:cstheme="majorHAnsi"/>
          <w:b/>
          <w:sz w:val="26"/>
          <w:szCs w:val="26"/>
        </w:rPr>
        <w:t>Strategic Recommendations</w:t>
      </w:r>
    </w:p>
    <w:p w14:paraId="00000027" w14:textId="77777777" w:rsidR="000D1422" w:rsidRPr="006E58A0" w:rsidRDefault="00000000" w:rsidP="006E58A0">
      <w:pPr>
        <w:spacing w:line="312" w:lineRule="auto"/>
        <w:jc w:val="both"/>
        <w:rPr>
          <w:rFonts w:asciiTheme="majorHAnsi" w:eastAsia="Times New Roman" w:hAnsiTheme="majorHAnsi" w:cstheme="majorHAnsi"/>
          <w:sz w:val="26"/>
          <w:szCs w:val="26"/>
        </w:rPr>
      </w:pPr>
      <w:r w:rsidRPr="006E58A0">
        <w:rPr>
          <w:rFonts w:asciiTheme="majorHAnsi" w:eastAsia="Times New Roman" w:hAnsiTheme="majorHAnsi" w:cstheme="majorHAnsi"/>
          <w:sz w:val="26"/>
          <w:szCs w:val="26"/>
        </w:rPr>
        <w:t>Each recommendation addresses a corresponding insight and is structured to be measurable, operationally feasible, and business-impactful.</w:t>
      </w:r>
    </w:p>
    <w:p w14:paraId="00000028" w14:textId="77777777"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bookmarkStart w:id="10" w:name="_ziabhdmirdd1" w:colFirst="0" w:colLast="0"/>
      <w:bookmarkEnd w:id="10"/>
      <w:r w:rsidRPr="006E58A0">
        <w:rPr>
          <w:rFonts w:asciiTheme="majorHAnsi" w:eastAsia="Times New Roman" w:hAnsiTheme="majorHAnsi" w:cstheme="majorHAnsi"/>
          <w:b/>
          <w:color w:val="000000"/>
          <w:sz w:val="26"/>
          <w:szCs w:val="26"/>
        </w:rPr>
        <w:t>Recommendation 1: Launch youth-focused campaigns on mobile-first and social platforms</w:t>
      </w:r>
    </w:p>
    <w:p w14:paraId="00000029"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What:</w:t>
      </w:r>
      <w:r w:rsidRPr="006E58A0">
        <w:rPr>
          <w:rFonts w:asciiTheme="majorHAnsi" w:eastAsia="Times New Roman" w:hAnsiTheme="majorHAnsi" w:cstheme="majorHAnsi"/>
          <w:sz w:val="26"/>
          <w:szCs w:val="26"/>
        </w:rPr>
        <w:t xml:space="preserve"> Design fast-paced, shareable content on platforms like TikTok, Zalo, and Instagram tailored for &lt;25 audiences.</w:t>
      </w:r>
    </w:p>
    <w:p w14:paraId="0000002A"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Why:</w:t>
      </w:r>
      <w:r w:rsidRPr="006E58A0">
        <w:rPr>
          <w:rFonts w:asciiTheme="majorHAnsi" w:eastAsia="Times New Roman" w:hAnsiTheme="majorHAnsi" w:cstheme="majorHAnsi"/>
          <w:sz w:val="26"/>
          <w:szCs w:val="26"/>
        </w:rPr>
        <w:t xml:space="preserve"> This segment shows high reactivity and is best reached through digital-native channels.</w:t>
      </w:r>
    </w:p>
    <w:p w14:paraId="0000002B"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Impact:</w:t>
      </w:r>
      <w:r w:rsidRPr="006E58A0">
        <w:rPr>
          <w:rFonts w:asciiTheme="majorHAnsi" w:eastAsia="Times New Roman" w:hAnsiTheme="majorHAnsi" w:cstheme="majorHAnsi"/>
          <w:sz w:val="26"/>
          <w:szCs w:val="26"/>
        </w:rPr>
        <w:t xml:space="preserve"> Increase response rates in the under-25 cohort by 30%, reduce acquisition cost by 10–15%.</w:t>
      </w:r>
    </w:p>
    <w:p w14:paraId="0000002C" w14:textId="77777777"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bookmarkStart w:id="11" w:name="_m6h2n0c58ljb" w:colFirst="0" w:colLast="0"/>
      <w:bookmarkEnd w:id="11"/>
      <w:r w:rsidRPr="006E58A0">
        <w:rPr>
          <w:rFonts w:asciiTheme="majorHAnsi" w:eastAsia="Times New Roman" w:hAnsiTheme="majorHAnsi" w:cstheme="majorHAnsi"/>
          <w:b/>
          <w:color w:val="000000"/>
          <w:sz w:val="26"/>
          <w:szCs w:val="26"/>
        </w:rPr>
        <w:t>Recommendation 2: Develop senior-targeted offerings using trust-first, offline-friendly messaging</w:t>
      </w:r>
    </w:p>
    <w:p w14:paraId="0000002D"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What:</w:t>
      </w:r>
      <w:r w:rsidRPr="006E58A0">
        <w:rPr>
          <w:rFonts w:asciiTheme="majorHAnsi" w:eastAsia="Times New Roman" w:hAnsiTheme="majorHAnsi" w:cstheme="majorHAnsi"/>
          <w:sz w:val="26"/>
          <w:szCs w:val="26"/>
        </w:rPr>
        <w:t xml:space="preserve"> Leverage calls, physical mailers, and workshops to offer conservative investment products or savings plans for the 55+ segment.</w:t>
      </w:r>
    </w:p>
    <w:p w14:paraId="0000002E"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Why:</w:t>
      </w:r>
      <w:r w:rsidRPr="006E58A0">
        <w:rPr>
          <w:rFonts w:asciiTheme="majorHAnsi" w:eastAsia="Times New Roman" w:hAnsiTheme="majorHAnsi" w:cstheme="majorHAnsi"/>
          <w:sz w:val="26"/>
          <w:szCs w:val="26"/>
        </w:rPr>
        <w:t xml:space="preserve"> Financially motivated but digitally cautious, this group values personal engagement over automation.</w:t>
      </w:r>
    </w:p>
    <w:p w14:paraId="0000002F"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Impact:</w:t>
      </w:r>
      <w:r w:rsidRPr="006E58A0">
        <w:rPr>
          <w:rFonts w:asciiTheme="majorHAnsi" w:eastAsia="Times New Roman" w:hAnsiTheme="majorHAnsi" w:cstheme="majorHAnsi"/>
          <w:sz w:val="26"/>
          <w:szCs w:val="26"/>
        </w:rPr>
        <w:t xml:space="preserve"> Boost conversion in senior segments by 20–25% and enhance inclusivity.</w:t>
      </w:r>
    </w:p>
    <w:p w14:paraId="00000030" w14:textId="77777777"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bookmarkStart w:id="12" w:name="_qr4f27flqjgr" w:colFirst="0" w:colLast="0"/>
      <w:bookmarkEnd w:id="12"/>
      <w:r w:rsidRPr="006E58A0">
        <w:rPr>
          <w:rFonts w:asciiTheme="majorHAnsi" w:eastAsia="Times New Roman" w:hAnsiTheme="majorHAnsi" w:cstheme="majorHAnsi"/>
          <w:b/>
          <w:color w:val="000000"/>
          <w:sz w:val="26"/>
          <w:szCs w:val="26"/>
        </w:rPr>
        <w:t>Recommendation 3: Prioritize mobile phone contacts in outreach datasets</w:t>
      </w:r>
    </w:p>
    <w:p w14:paraId="00000031"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What:</w:t>
      </w:r>
      <w:r w:rsidRPr="006E58A0">
        <w:rPr>
          <w:rFonts w:asciiTheme="majorHAnsi" w:eastAsia="Times New Roman" w:hAnsiTheme="majorHAnsi" w:cstheme="majorHAnsi"/>
          <w:sz w:val="26"/>
          <w:szCs w:val="26"/>
        </w:rPr>
        <w:t xml:space="preserve"> Tag and filter for mobile numbers in customer records; build priority call queues for cellular contacts.</w:t>
      </w:r>
    </w:p>
    <w:p w14:paraId="00000032"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Why:</w:t>
      </w:r>
      <w:r w:rsidRPr="006E58A0">
        <w:rPr>
          <w:rFonts w:asciiTheme="majorHAnsi" w:eastAsia="Times New Roman" w:hAnsiTheme="majorHAnsi" w:cstheme="majorHAnsi"/>
          <w:sz w:val="26"/>
          <w:szCs w:val="26"/>
        </w:rPr>
        <w:t xml:space="preserve"> Mobile contacts show stronger responsiveness and support better real-time engagement.</w:t>
      </w:r>
    </w:p>
    <w:p w14:paraId="00000033"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Impact:</w:t>
      </w:r>
      <w:r w:rsidRPr="006E58A0">
        <w:rPr>
          <w:rFonts w:asciiTheme="majorHAnsi" w:eastAsia="Times New Roman" w:hAnsiTheme="majorHAnsi" w:cstheme="majorHAnsi"/>
          <w:sz w:val="26"/>
          <w:szCs w:val="26"/>
        </w:rPr>
        <w:t xml:space="preserve"> Improve call-to-response efficiency by 15%, reduce outreach lag.</w:t>
      </w:r>
    </w:p>
    <w:p w14:paraId="00000034" w14:textId="77777777"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bookmarkStart w:id="13" w:name="_mvnmyr3s2rwa" w:colFirst="0" w:colLast="0"/>
      <w:bookmarkEnd w:id="13"/>
      <w:r w:rsidRPr="006E58A0">
        <w:rPr>
          <w:rFonts w:asciiTheme="majorHAnsi" w:eastAsia="Times New Roman" w:hAnsiTheme="majorHAnsi" w:cstheme="majorHAnsi"/>
          <w:b/>
          <w:color w:val="000000"/>
          <w:sz w:val="26"/>
          <w:szCs w:val="26"/>
        </w:rPr>
        <w:lastRenderedPageBreak/>
        <w:t>Recommendation 4: Standardize telesales scripts for 300–400s calls with layered engagement</w:t>
      </w:r>
    </w:p>
    <w:p w14:paraId="00000035"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What:</w:t>
      </w:r>
      <w:r w:rsidRPr="006E58A0">
        <w:rPr>
          <w:rFonts w:asciiTheme="majorHAnsi" w:eastAsia="Times New Roman" w:hAnsiTheme="majorHAnsi" w:cstheme="majorHAnsi"/>
          <w:sz w:val="26"/>
          <w:szCs w:val="26"/>
        </w:rPr>
        <w:t xml:space="preserve"> Redesign call scripts to prioritize relationship-building, objection handling, and consultative questioning within a 5–7 minute window.</w:t>
      </w:r>
    </w:p>
    <w:p w14:paraId="00000036"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Why:</w:t>
      </w:r>
      <w:r w:rsidRPr="006E58A0">
        <w:rPr>
          <w:rFonts w:asciiTheme="majorHAnsi" w:eastAsia="Times New Roman" w:hAnsiTheme="majorHAnsi" w:cstheme="majorHAnsi"/>
          <w:sz w:val="26"/>
          <w:szCs w:val="26"/>
        </w:rPr>
        <w:t xml:space="preserve"> Extended interactions yield substantially higher conversions and customer trust.</w:t>
      </w:r>
    </w:p>
    <w:p w14:paraId="00000037"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Impact:</w:t>
      </w:r>
      <w:r w:rsidRPr="006E58A0">
        <w:rPr>
          <w:rFonts w:asciiTheme="majorHAnsi" w:eastAsia="Times New Roman" w:hAnsiTheme="majorHAnsi" w:cstheme="majorHAnsi"/>
          <w:sz w:val="26"/>
          <w:szCs w:val="26"/>
        </w:rPr>
        <w:t xml:space="preserve"> Increase conversion rate per call by &gt;20%.</w:t>
      </w:r>
    </w:p>
    <w:p w14:paraId="00000038" w14:textId="77777777" w:rsidR="000D1422" w:rsidRPr="006E58A0" w:rsidRDefault="00000000" w:rsidP="006E58A0">
      <w:pPr>
        <w:spacing w:line="312" w:lineRule="auto"/>
        <w:jc w:val="both"/>
        <w:rPr>
          <w:rFonts w:asciiTheme="majorHAnsi" w:eastAsia="Times New Roman" w:hAnsiTheme="majorHAnsi" w:cstheme="majorHAnsi"/>
          <w:b/>
          <w:color w:val="000000"/>
          <w:sz w:val="26"/>
          <w:szCs w:val="26"/>
        </w:rPr>
      </w:pPr>
      <w:r w:rsidRPr="006E58A0">
        <w:rPr>
          <w:rFonts w:asciiTheme="majorHAnsi" w:eastAsia="Times New Roman" w:hAnsiTheme="majorHAnsi" w:cstheme="majorHAnsi"/>
          <w:b/>
          <w:color w:val="000000"/>
          <w:sz w:val="26"/>
          <w:szCs w:val="26"/>
        </w:rPr>
        <w:t>Recommendation 5: Concentrate campaign launches in high-performing months (March, Sept, Oct)</w:t>
      </w:r>
    </w:p>
    <w:p w14:paraId="00000039"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What:</w:t>
      </w:r>
      <w:r w:rsidRPr="006E58A0">
        <w:rPr>
          <w:rFonts w:asciiTheme="majorHAnsi" w:eastAsia="Times New Roman" w:hAnsiTheme="majorHAnsi" w:cstheme="majorHAnsi"/>
          <w:sz w:val="26"/>
          <w:szCs w:val="26"/>
        </w:rPr>
        <w:t xml:space="preserve"> Reallocate marketing budget to favor these high-response windows; run A/B tests to optimize content per seasonal behavior.</w:t>
      </w:r>
    </w:p>
    <w:p w14:paraId="0000003A"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Why:</w:t>
      </w:r>
      <w:r w:rsidRPr="006E58A0">
        <w:rPr>
          <w:rFonts w:asciiTheme="majorHAnsi" w:eastAsia="Times New Roman" w:hAnsiTheme="majorHAnsi" w:cstheme="majorHAnsi"/>
          <w:sz w:val="26"/>
          <w:szCs w:val="26"/>
        </w:rPr>
        <w:t xml:space="preserve"> Historical data confirms seasonality effects in campaign responsiveness.</w:t>
      </w:r>
    </w:p>
    <w:p w14:paraId="0000003B"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Impact:</w:t>
      </w:r>
      <w:r w:rsidRPr="006E58A0">
        <w:rPr>
          <w:rFonts w:asciiTheme="majorHAnsi" w:eastAsia="Times New Roman" w:hAnsiTheme="majorHAnsi" w:cstheme="majorHAnsi"/>
          <w:sz w:val="26"/>
          <w:szCs w:val="26"/>
        </w:rPr>
        <w:t xml:space="preserve"> Improve campaign ROI, reducing cost-per-response by up to 25%.</w:t>
      </w:r>
    </w:p>
    <w:p w14:paraId="0000003C" w14:textId="77777777" w:rsidR="000D1422" w:rsidRPr="006E58A0" w:rsidRDefault="00000000" w:rsidP="006E58A0">
      <w:pPr>
        <w:pStyle w:val="Heading3"/>
        <w:keepNext w:val="0"/>
        <w:keepLines w:val="0"/>
        <w:spacing w:before="0" w:after="0" w:line="312" w:lineRule="auto"/>
        <w:jc w:val="both"/>
        <w:rPr>
          <w:rFonts w:asciiTheme="majorHAnsi" w:eastAsia="Times New Roman" w:hAnsiTheme="majorHAnsi" w:cstheme="majorHAnsi"/>
          <w:b/>
          <w:color w:val="000000"/>
          <w:sz w:val="26"/>
          <w:szCs w:val="26"/>
        </w:rPr>
      </w:pPr>
      <w:bookmarkStart w:id="14" w:name="_53nh5qkjcbv1" w:colFirst="0" w:colLast="0"/>
      <w:bookmarkEnd w:id="14"/>
      <w:r w:rsidRPr="006E58A0">
        <w:rPr>
          <w:rFonts w:asciiTheme="majorHAnsi" w:eastAsia="Gungsuh" w:hAnsiTheme="majorHAnsi" w:cstheme="majorHAnsi"/>
          <w:b/>
          <w:color w:val="000000"/>
          <w:sz w:val="26"/>
          <w:szCs w:val="26"/>
        </w:rPr>
        <w:t>Recommendation 6: Limit campaign repetition to ≤3 exposures and focus on early-stage personalization</w:t>
      </w:r>
    </w:p>
    <w:p w14:paraId="0000003D"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What:</w:t>
      </w:r>
      <w:r w:rsidRPr="006E58A0">
        <w:rPr>
          <w:rFonts w:asciiTheme="majorHAnsi" w:eastAsia="Cardo" w:hAnsiTheme="majorHAnsi" w:cstheme="majorHAnsi"/>
          <w:sz w:val="26"/>
          <w:szCs w:val="26"/>
        </w:rPr>
        <w:t xml:space="preserve"> Deploy a structured 3-touch sequence with escalating messaging (e.g., awareness → interest → action), and avoid overexposure to non-responders.</w:t>
      </w:r>
    </w:p>
    <w:p w14:paraId="0000003E"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Why:</w:t>
      </w:r>
      <w:r w:rsidRPr="006E58A0">
        <w:rPr>
          <w:rFonts w:asciiTheme="majorHAnsi" w:eastAsia="Times New Roman" w:hAnsiTheme="majorHAnsi" w:cstheme="majorHAnsi"/>
          <w:sz w:val="26"/>
          <w:szCs w:val="26"/>
        </w:rPr>
        <w:t xml:space="preserve"> Peak response occurs in early stages—repetition beyond 3 leads to steep drop-offs.</w:t>
      </w:r>
    </w:p>
    <w:p w14:paraId="0000003F" w14:textId="77777777" w:rsidR="000D1422" w:rsidRPr="006E58A0" w:rsidRDefault="00000000" w:rsidP="006E58A0">
      <w:pPr>
        <w:spacing w:line="312" w:lineRule="auto"/>
        <w:jc w:val="both"/>
        <w:rPr>
          <w:rFonts w:asciiTheme="majorHAnsi" w:hAnsiTheme="majorHAnsi" w:cstheme="majorHAnsi"/>
          <w:sz w:val="26"/>
          <w:szCs w:val="26"/>
        </w:rPr>
      </w:pPr>
      <w:r w:rsidRPr="006E58A0">
        <w:rPr>
          <w:rFonts w:asciiTheme="majorHAnsi" w:eastAsia="Times New Roman" w:hAnsiTheme="majorHAnsi" w:cstheme="majorHAnsi"/>
          <w:b/>
          <w:sz w:val="26"/>
          <w:szCs w:val="26"/>
        </w:rPr>
        <w:t>Impact:</w:t>
      </w:r>
      <w:r w:rsidRPr="006E58A0">
        <w:rPr>
          <w:rFonts w:asciiTheme="majorHAnsi" w:eastAsia="Times New Roman" w:hAnsiTheme="majorHAnsi" w:cstheme="majorHAnsi"/>
          <w:sz w:val="26"/>
          <w:szCs w:val="26"/>
        </w:rPr>
        <w:t xml:space="preserve"> Increase early-stage conversion and reduce resource waste on fatigued leads.</w:t>
      </w:r>
    </w:p>
    <w:p w14:paraId="00000040" w14:textId="77777777" w:rsidR="000D1422" w:rsidRPr="006E58A0" w:rsidRDefault="000D1422" w:rsidP="006E58A0">
      <w:pPr>
        <w:spacing w:line="312" w:lineRule="auto"/>
        <w:jc w:val="both"/>
        <w:rPr>
          <w:rFonts w:asciiTheme="majorHAnsi" w:eastAsia="Times New Roman" w:hAnsiTheme="majorHAnsi" w:cstheme="majorHAnsi"/>
          <w:sz w:val="26"/>
          <w:szCs w:val="26"/>
        </w:rPr>
      </w:pPr>
    </w:p>
    <w:sectPr w:rsidR="000D1422" w:rsidRPr="006E58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rdo">
    <w:charset w:val="00"/>
    <w:family w:val="auto"/>
    <w:pitch w:val="default"/>
    <w:embedRegular r:id="rId1" w:fontKey="{DBDA1416-526F-445D-8D62-4D265FA5C3D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C47"/>
    <w:multiLevelType w:val="multilevel"/>
    <w:tmpl w:val="475CF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12E32"/>
    <w:multiLevelType w:val="multilevel"/>
    <w:tmpl w:val="DB1AF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2C3948"/>
    <w:multiLevelType w:val="multilevel"/>
    <w:tmpl w:val="93661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952342"/>
    <w:multiLevelType w:val="multilevel"/>
    <w:tmpl w:val="8480A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ED6772"/>
    <w:multiLevelType w:val="multilevel"/>
    <w:tmpl w:val="A126D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E07244"/>
    <w:multiLevelType w:val="multilevel"/>
    <w:tmpl w:val="DF348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9337BE"/>
    <w:multiLevelType w:val="multilevel"/>
    <w:tmpl w:val="79F40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B51F06"/>
    <w:multiLevelType w:val="multilevel"/>
    <w:tmpl w:val="B8505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D339E3"/>
    <w:multiLevelType w:val="multilevel"/>
    <w:tmpl w:val="11CC0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C53E0B"/>
    <w:multiLevelType w:val="hybridMultilevel"/>
    <w:tmpl w:val="D5CE02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D66500D"/>
    <w:multiLevelType w:val="multilevel"/>
    <w:tmpl w:val="77F8F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763E79"/>
    <w:multiLevelType w:val="multilevel"/>
    <w:tmpl w:val="CF1A9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435CF0"/>
    <w:multiLevelType w:val="multilevel"/>
    <w:tmpl w:val="46B2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305272"/>
    <w:multiLevelType w:val="multilevel"/>
    <w:tmpl w:val="4C723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92671F"/>
    <w:multiLevelType w:val="multilevel"/>
    <w:tmpl w:val="DCFA2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5640913">
    <w:abstractNumId w:val="0"/>
  </w:num>
  <w:num w:numId="2" w16cid:durableId="632103314">
    <w:abstractNumId w:val="7"/>
  </w:num>
  <w:num w:numId="3" w16cid:durableId="2116748581">
    <w:abstractNumId w:val="6"/>
  </w:num>
  <w:num w:numId="4" w16cid:durableId="1355376271">
    <w:abstractNumId w:val="3"/>
  </w:num>
  <w:num w:numId="5" w16cid:durableId="1021204474">
    <w:abstractNumId w:val="4"/>
  </w:num>
  <w:num w:numId="6" w16cid:durableId="2054191510">
    <w:abstractNumId w:val="8"/>
  </w:num>
  <w:num w:numId="7" w16cid:durableId="1573546120">
    <w:abstractNumId w:val="14"/>
  </w:num>
  <w:num w:numId="8" w16cid:durableId="47652998">
    <w:abstractNumId w:val="5"/>
  </w:num>
  <w:num w:numId="9" w16cid:durableId="43647139">
    <w:abstractNumId w:val="13"/>
  </w:num>
  <w:num w:numId="10" w16cid:durableId="481628173">
    <w:abstractNumId w:val="1"/>
  </w:num>
  <w:num w:numId="11" w16cid:durableId="569196160">
    <w:abstractNumId w:val="12"/>
  </w:num>
  <w:num w:numId="12" w16cid:durableId="497888812">
    <w:abstractNumId w:val="11"/>
  </w:num>
  <w:num w:numId="13" w16cid:durableId="69038114">
    <w:abstractNumId w:val="2"/>
  </w:num>
  <w:num w:numId="14" w16cid:durableId="1335449088">
    <w:abstractNumId w:val="10"/>
  </w:num>
  <w:num w:numId="15" w16cid:durableId="7020929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422"/>
    <w:rsid w:val="000D1422"/>
    <w:rsid w:val="006E58A0"/>
    <w:rsid w:val="007C67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EBDA"/>
  <w15:docId w15:val="{6EDC206C-4CB1-4979-B1BA-A1057757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ThaoPT</dc:creator>
  <cp:lastModifiedBy>ThaoPT</cp:lastModifiedBy>
  <cp:revision>2</cp:revision>
  <dcterms:created xsi:type="dcterms:W3CDTF">2025-07-20T15:29:00Z</dcterms:created>
  <dcterms:modified xsi:type="dcterms:W3CDTF">2025-07-20T15:29:00Z</dcterms:modified>
</cp:coreProperties>
</file>