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F2CBB58" w:rsidR="00D73936" w:rsidRPr="0061745C" w:rsidRDefault="0061745C" w:rsidP="0061745C">
      <w:pPr>
        <w:pStyle w:val="Heading1"/>
        <w:keepNext w:val="0"/>
        <w:keepLines w:val="0"/>
        <w:spacing w:before="120" w:line="312" w:lineRule="auto"/>
        <w:jc w:val="center"/>
        <w:rPr>
          <w:rFonts w:asciiTheme="majorHAnsi" w:eastAsia="Times New Roman" w:hAnsiTheme="majorHAnsi" w:cstheme="majorHAnsi"/>
          <w:b/>
          <w:sz w:val="28"/>
          <w:szCs w:val="28"/>
          <w:lang w:val="vi-VN"/>
        </w:rPr>
      </w:pPr>
      <w:r w:rsidRPr="0061745C">
        <w:rPr>
          <w:rFonts w:asciiTheme="majorHAnsi" w:eastAsia="Times New Roman" w:hAnsiTheme="majorHAnsi" w:cstheme="majorHAnsi"/>
          <w:b/>
          <w:sz w:val="28"/>
          <w:szCs w:val="28"/>
        </w:rPr>
        <w:t>CUSTOMER</w:t>
      </w:r>
      <w:r w:rsidRPr="0061745C">
        <w:rPr>
          <w:rFonts w:asciiTheme="majorHAnsi" w:eastAsia="Times New Roman" w:hAnsiTheme="majorHAnsi" w:cstheme="majorHAnsi"/>
          <w:b/>
          <w:sz w:val="28"/>
          <w:szCs w:val="28"/>
          <w:lang w:val="vi-VN"/>
        </w:rPr>
        <w:t xml:space="preserve"> CHURN ANALYSIS</w:t>
      </w:r>
    </w:p>
    <w:p w14:paraId="00000002" w14:textId="77777777" w:rsidR="00D73936" w:rsidRPr="0061745C" w:rsidRDefault="00000000" w:rsidP="0061745C">
      <w:pPr>
        <w:pStyle w:val="Heading3"/>
        <w:keepNext w:val="0"/>
        <w:keepLines w:val="0"/>
        <w:spacing w:before="120" w:after="120" w:line="312" w:lineRule="auto"/>
        <w:jc w:val="both"/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</w:pPr>
      <w:bookmarkStart w:id="0" w:name="_vfjkbin25t7a" w:colFirst="0" w:colLast="0"/>
      <w:bookmarkEnd w:id="0"/>
      <w:r w:rsidRPr="0061745C"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  <w:t>Business Objective</w:t>
      </w:r>
    </w:p>
    <w:p w14:paraId="00000003" w14:textId="77777777" w:rsidR="00D73936" w:rsidRPr="0061745C" w:rsidRDefault="00000000" w:rsidP="0061745C">
      <w:pPr>
        <w:spacing w:before="120" w:after="120" w:line="312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sz w:val="26"/>
          <w:szCs w:val="26"/>
        </w:rPr>
        <w:t>Identify key behavioral and demographic factors contributing to customer churn, detect high-risk segments using RFM segmentation, and propose actionable retention strategies based on Excel dashboard analysis.</w:t>
      </w:r>
    </w:p>
    <w:p w14:paraId="00000004" w14:textId="77777777" w:rsidR="00D73936" w:rsidRPr="0061745C" w:rsidRDefault="00000000" w:rsidP="0061745C">
      <w:pPr>
        <w:pStyle w:val="Heading2"/>
        <w:keepNext w:val="0"/>
        <w:keepLines w:val="0"/>
        <w:spacing w:before="120" w:line="312" w:lineRule="auto"/>
        <w:jc w:val="both"/>
        <w:rPr>
          <w:rFonts w:asciiTheme="majorHAnsi" w:eastAsia="Times New Roman" w:hAnsiTheme="majorHAnsi" w:cstheme="majorHAnsi"/>
          <w:b/>
          <w:sz w:val="26"/>
          <w:szCs w:val="26"/>
        </w:rPr>
      </w:pPr>
      <w:bookmarkStart w:id="1" w:name="_dq7vb0ooq5qq" w:colFirst="0" w:colLast="0"/>
      <w:bookmarkEnd w:id="1"/>
      <w:r w:rsidRPr="0061745C">
        <w:rPr>
          <w:rFonts w:asciiTheme="majorHAnsi" w:eastAsia="Times New Roman" w:hAnsiTheme="majorHAnsi" w:cstheme="majorHAnsi"/>
          <w:b/>
          <w:sz w:val="26"/>
          <w:szCs w:val="26"/>
        </w:rPr>
        <w:t>Strategic Insights</w:t>
      </w:r>
    </w:p>
    <w:p w14:paraId="00000005" w14:textId="77777777" w:rsidR="00D73936" w:rsidRPr="0061745C" w:rsidRDefault="00000000" w:rsidP="0061745C">
      <w:pPr>
        <w:spacing w:before="120" w:after="120" w:line="312" w:lineRule="auto"/>
        <w:ind w:right="600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i/>
          <w:sz w:val="26"/>
          <w:szCs w:val="26"/>
        </w:rPr>
        <w:t>The insights below are derived from multi-dimensional analysis across demographics, behavioral metrics, and RFM scores, validated through pivot-based segmentation and churn rate distribution.</w:t>
      </w:r>
    </w:p>
    <w:p w14:paraId="00000006" w14:textId="77777777" w:rsidR="00D73936" w:rsidRPr="0061745C" w:rsidRDefault="00000000" w:rsidP="0061745C">
      <w:pPr>
        <w:pStyle w:val="Heading3"/>
        <w:keepNext w:val="0"/>
        <w:keepLines w:val="0"/>
        <w:spacing w:before="120" w:after="120" w:line="312" w:lineRule="auto"/>
        <w:jc w:val="both"/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</w:pPr>
      <w:bookmarkStart w:id="2" w:name="_sy0ftlz50dbo" w:colFirst="0" w:colLast="0"/>
      <w:bookmarkEnd w:id="2"/>
      <w:r w:rsidRPr="0061745C">
        <w:rPr>
          <w:rFonts w:asciiTheme="majorHAnsi" w:eastAsia="Cardo" w:hAnsiTheme="majorHAnsi" w:cstheme="majorHAnsi"/>
          <w:b/>
          <w:color w:val="000000"/>
          <w:sz w:val="26"/>
          <w:szCs w:val="26"/>
        </w:rPr>
        <w:t>Insight 1: High churn detected within top-tier RFM segments → signaling a loyalty gap, not a usage gap</w:t>
      </w:r>
    </w:p>
    <w:p w14:paraId="00000007" w14:textId="77777777" w:rsidR="00D73936" w:rsidRPr="0061745C" w:rsidRDefault="00000000" w:rsidP="0061745C">
      <w:pPr>
        <w:numPr>
          <w:ilvl w:val="0"/>
          <w:numId w:val="1"/>
        </w:numPr>
        <w:spacing w:before="120" w:after="120" w:line="312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61745C">
        <w:rPr>
          <w:rFonts w:asciiTheme="majorHAnsi" w:eastAsia="Gungsuh" w:hAnsiTheme="majorHAnsi" w:cstheme="majorHAnsi"/>
          <w:sz w:val="26"/>
          <w:szCs w:val="26"/>
        </w:rPr>
        <w:t>Observation: A non-trivial churn rate (up to 60–70%) was detected in customers with RFM scores ≥ 4-5-4, who are otherwise considered highly valuable (long tenure, high balance, multiple products).</w:t>
      </w:r>
    </w:p>
    <w:p w14:paraId="00000008" w14:textId="77777777" w:rsidR="00D73936" w:rsidRPr="0061745C" w:rsidRDefault="00000000" w:rsidP="0061745C">
      <w:pPr>
        <w:numPr>
          <w:ilvl w:val="0"/>
          <w:numId w:val="1"/>
        </w:numPr>
        <w:spacing w:before="120" w:after="120" w:line="312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sz w:val="26"/>
          <w:szCs w:val="26"/>
        </w:rPr>
        <w:t>Interpretation: These customers are not leaving due to lack of engagement or usage but likely due to unmet expectations in service quality or relationship management.</w:t>
      </w:r>
    </w:p>
    <w:p w14:paraId="00000009" w14:textId="77777777" w:rsidR="00D73936" w:rsidRPr="0061745C" w:rsidRDefault="00000000" w:rsidP="0061745C">
      <w:pPr>
        <w:numPr>
          <w:ilvl w:val="0"/>
          <w:numId w:val="1"/>
        </w:numPr>
        <w:spacing w:before="120" w:after="120" w:line="312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sz w:val="26"/>
          <w:szCs w:val="26"/>
        </w:rPr>
        <w:t>Implication: Loyalty is not being rewarded or reinforced, indicating a failure in post-sale experience, not product attractiveness.</w:t>
      </w:r>
    </w:p>
    <w:p w14:paraId="0000000A" w14:textId="77777777" w:rsidR="00D73936" w:rsidRPr="0061745C" w:rsidRDefault="00000000" w:rsidP="0061745C">
      <w:pPr>
        <w:pStyle w:val="Heading3"/>
        <w:keepNext w:val="0"/>
        <w:keepLines w:val="0"/>
        <w:spacing w:before="120" w:after="120" w:line="312" w:lineRule="auto"/>
        <w:jc w:val="both"/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</w:pPr>
      <w:bookmarkStart w:id="3" w:name="_v5pka3wl8z2d" w:colFirst="0" w:colLast="0"/>
      <w:bookmarkEnd w:id="3"/>
      <w:r w:rsidRPr="0061745C"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  <w:t>Insight 2: Churn increases with product count — but not due to product fatigue; rather due to premature cross-sell</w:t>
      </w:r>
    </w:p>
    <w:p w14:paraId="0000000B" w14:textId="77777777" w:rsidR="00D73936" w:rsidRPr="0061745C" w:rsidRDefault="00000000" w:rsidP="0061745C">
      <w:pPr>
        <w:numPr>
          <w:ilvl w:val="0"/>
          <w:numId w:val="13"/>
        </w:numPr>
        <w:spacing w:before="120" w:after="120" w:line="312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sz w:val="26"/>
          <w:szCs w:val="26"/>
        </w:rPr>
        <w:t>Observation: Customers holding 3–4 products exhibited churn rates 2x–3x higher than those with 1–2 products.</w:t>
      </w:r>
    </w:p>
    <w:p w14:paraId="0000000C" w14:textId="77777777" w:rsidR="00D73936" w:rsidRPr="0061745C" w:rsidRDefault="00000000" w:rsidP="0061745C">
      <w:pPr>
        <w:numPr>
          <w:ilvl w:val="0"/>
          <w:numId w:val="13"/>
        </w:numPr>
        <w:spacing w:before="120" w:after="120" w:line="312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sz w:val="26"/>
          <w:szCs w:val="26"/>
        </w:rPr>
        <w:t>Deeper dive: Those with many products but tenure &lt; 2 years had the highest churn, suggesting products were sold before trust or product fit was established.</w:t>
      </w:r>
    </w:p>
    <w:p w14:paraId="0000000D" w14:textId="77777777" w:rsidR="00D73936" w:rsidRPr="0061745C" w:rsidRDefault="00000000" w:rsidP="0061745C">
      <w:pPr>
        <w:numPr>
          <w:ilvl w:val="0"/>
          <w:numId w:val="13"/>
        </w:numPr>
        <w:spacing w:before="120" w:after="120" w:line="312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sz w:val="26"/>
          <w:szCs w:val="26"/>
        </w:rPr>
        <w:t>Implication: Aggressive cross-sell strategies may be triggering early dissatisfaction. The issue is not product quantity, but sequence and timing in the customer journey.</w:t>
      </w:r>
    </w:p>
    <w:p w14:paraId="0000000E" w14:textId="77777777" w:rsidR="00D73936" w:rsidRPr="0061745C" w:rsidRDefault="00000000" w:rsidP="0061745C">
      <w:pPr>
        <w:pStyle w:val="Heading3"/>
        <w:keepNext w:val="0"/>
        <w:keepLines w:val="0"/>
        <w:spacing w:before="120" w:after="120" w:line="312" w:lineRule="auto"/>
        <w:jc w:val="both"/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</w:pPr>
      <w:bookmarkStart w:id="4" w:name="_6e4kn83kzpjx" w:colFirst="0" w:colLast="0"/>
      <w:bookmarkEnd w:id="4"/>
      <w:r w:rsidRPr="0061745C"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  <w:t>Insight 3: Age &gt; 45 correlates strongly with churn — not due to value, but digital alienation</w:t>
      </w:r>
    </w:p>
    <w:p w14:paraId="0000000F" w14:textId="77777777" w:rsidR="00D73936" w:rsidRPr="0061745C" w:rsidRDefault="00000000" w:rsidP="0061745C">
      <w:pPr>
        <w:numPr>
          <w:ilvl w:val="0"/>
          <w:numId w:val="7"/>
        </w:numPr>
        <w:spacing w:before="120" w:after="120" w:line="312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sz w:val="26"/>
          <w:szCs w:val="26"/>
        </w:rPr>
        <w:t>Observation: Customers aged 45+ contributed disproportionately to churn (churn &gt; 50%) despite having high average balance and tenure.</w:t>
      </w:r>
    </w:p>
    <w:p w14:paraId="00000010" w14:textId="77777777" w:rsidR="00D73936" w:rsidRPr="0061745C" w:rsidRDefault="00000000" w:rsidP="0061745C">
      <w:pPr>
        <w:numPr>
          <w:ilvl w:val="0"/>
          <w:numId w:val="7"/>
        </w:numPr>
        <w:spacing w:before="120" w:after="120" w:line="312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sz w:val="26"/>
          <w:szCs w:val="26"/>
        </w:rPr>
        <w:t>Root cause: These users likely face barriers in using digital services and are gradually disengaged in a system optimized for tech-native younger segments.</w:t>
      </w:r>
    </w:p>
    <w:p w14:paraId="00000011" w14:textId="77777777" w:rsidR="00D73936" w:rsidRPr="0061745C" w:rsidRDefault="00000000" w:rsidP="0061745C">
      <w:pPr>
        <w:numPr>
          <w:ilvl w:val="0"/>
          <w:numId w:val="7"/>
        </w:numPr>
        <w:spacing w:before="120" w:after="120" w:line="312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sz w:val="26"/>
          <w:szCs w:val="26"/>
        </w:rPr>
        <w:lastRenderedPageBreak/>
        <w:t>Implication: The firm risks unintentionally excluding a loyal and valuable cohort, not due to dissatisfaction, but because the channel experience is misaligned with their expectations.</w:t>
      </w:r>
    </w:p>
    <w:p w14:paraId="00000012" w14:textId="77777777" w:rsidR="00D73936" w:rsidRPr="0061745C" w:rsidRDefault="00000000" w:rsidP="0061745C">
      <w:pPr>
        <w:spacing w:before="120" w:after="120" w:line="312" w:lineRule="auto"/>
        <w:jc w:val="both"/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  <w:t>Insight 4: Germany shows structurally high churn despite small customer base</w:t>
      </w:r>
    </w:p>
    <w:p w14:paraId="00000013" w14:textId="77777777" w:rsidR="00D73936" w:rsidRPr="0061745C" w:rsidRDefault="00000000" w:rsidP="0061745C">
      <w:pPr>
        <w:numPr>
          <w:ilvl w:val="0"/>
          <w:numId w:val="4"/>
        </w:numPr>
        <w:spacing w:before="120" w:after="120" w:line="312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sz w:val="26"/>
          <w:szCs w:val="26"/>
        </w:rPr>
        <w:t>Observation: Germany, while comprising the smallest segment by customer volume, exhibits the highest churn rate across all three countries.</w:t>
      </w:r>
    </w:p>
    <w:p w14:paraId="00000014" w14:textId="77777777" w:rsidR="00D73936" w:rsidRPr="0061745C" w:rsidRDefault="00000000" w:rsidP="0061745C">
      <w:pPr>
        <w:numPr>
          <w:ilvl w:val="0"/>
          <w:numId w:val="4"/>
        </w:numPr>
        <w:spacing w:before="120" w:after="120" w:line="312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sz w:val="26"/>
          <w:szCs w:val="26"/>
        </w:rPr>
        <w:t>No evidence of demographic imbalance or product mix anomalies — suggesting systemic misfit.</w:t>
      </w:r>
    </w:p>
    <w:p w14:paraId="00000015" w14:textId="77777777" w:rsidR="00D73936" w:rsidRPr="0061745C" w:rsidRDefault="00000000" w:rsidP="0061745C">
      <w:pPr>
        <w:numPr>
          <w:ilvl w:val="0"/>
          <w:numId w:val="4"/>
        </w:numPr>
        <w:spacing w:before="120" w:after="120" w:line="312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sz w:val="26"/>
          <w:szCs w:val="26"/>
        </w:rPr>
        <w:t>Implication: The product-market fit in Germany is likely weak; continuing expansion without tailored adaptation could result in inefficient CAC and low ROI.</w:t>
      </w:r>
    </w:p>
    <w:p w14:paraId="00000016" w14:textId="77777777" w:rsidR="00D73936" w:rsidRPr="0061745C" w:rsidRDefault="00000000" w:rsidP="0061745C">
      <w:pPr>
        <w:spacing w:before="120" w:after="120" w:line="312" w:lineRule="auto"/>
        <w:jc w:val="both"/>
        <w:rPr>
          <w:rFonts w:asciiTheme="majorHAnsi" w:eastAsia="Times New Roman" w:hAnsiTheme="majorHAnsi" w:cstheme="majorHAnsi"/>
          <w:b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b/>
          <w:sz w:val="26"/>
          <w:szCs w:val="26"/>
        </w:rPr>
        <w:t>Insight 5: New customers churn not due to product failure, but onboarding breakdown</w:t>
      </w:r>
    </w:p>
    <w:p w14:paraId="00000017" w14:textId="77777777" w:rsidR="00D73936" w:rsidRPr="0061745C" w:rsidRDefault="00000000" w:rsidP="0061745C">
      <w:pPr>
        <w:numPr>
          <w:ilvl w:val="0"/>
          <w:numId w:val="9"/>
        </w:numPr>
        <w:spacing w:before="120" w:after="120" w:line="312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sz w:val="26"/>
          <w:szCs w:val="26"/>
        </w:rPr>
        <w:t>Observation: Customers with Recency = 5 (i.e., recently acquired) experience the highest churn across all RFM strata—even those with F = 5 and M = 5 churn at 100%.</w:t>
      </w:r>
    </w:p>
    <w:p w14:paraId="00000018" w14:textId="77777777" w:rsidR="00D73936" w:rsidRPr="0061745C" w:rsidRDefault="00000000" w:rsidP="0061745C">
      <w:pPr>
        <w:numPr>
          <w:ilvl w:val="0"/>
          <w:numId w:val="9"/>
        </w:numPr>
        <w:spacing w:before="120" w:after="120" w:line="312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sz w:val="26"/>
          <w:szCs w:val="26"/>
        </w:rPr>
        <w:t>Interpretation: These users are not lost due to poor product quality or lack of transactional intent; rather, they disengage despite their initial value. The likely driver is a mismanaged onboarding phase—where the product is delivered but the relationship is not.</w:t>
      </w:r>
    </w:p>
    <w:p w14:paraId="00000019" w14:textId="77777777" w:rsidR="00D73936" w:rsidRPr="0061745C" w:rsidRDefault="00000000" w:rsidP="0061745C">
      <w:pPr>
        <w:numPr>
          <w:ilvl w:val="0"/>
          <w:numId w:val="9"/>
        </w:numPr>
        <w:spacing w:before="120" w:after="120" w:line="312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sz w:val="26"/>
          <w:szCs w:val="26"/>
        </w:rPr>
        <w:t>Implication: First impressions are breaking down post-acquisition. Churn prevention efforts must start before usage peaks, not after it ends.</w:t>
      </w:r>
    </w:p>
    <w:p w14:paraId="0000001A" w14:textId="77777777" w:rsidR="00D73936" w:rsidRPr="0061745C" w:rsidRDefault="00000000" w:rsidP="0061745C">
      <w:pPr>
        <w:spacing w:before="120" w:after="120" w:line="312" w:lineRule="auto"/>
        <w:jc w:val="both"/>
        <w:rPr>
          <w:rFonts w:asciiTheme="majorHAnsi" w:eastAsia="Times New Roman" w:hAnsiTheme="majorHAnsi" w:cstheme="majorHAnsi"/>
          <w:b/>
          <w:sz w:val="26"/>
          <w:szCs w:val="26"/>
        </w:rPr>
      </w:pPr>
      <w:r w:rsidRPr="0061745C">
        <w:rPr>
          <w:rFonts w:asciiTheme="majorHAnsi" w:eastAsia="Gungsuh" w:hAnsiTheme="majorHAnsi" w:cstheme="majorHAnsi"/>
          <w:b/>
          <w:sz w:val="26"/>
          <w:szCs w:val="26"/>
        </w:rPr>
        <w:t>Insight 6: Product count ≥ 3 correlates with churn—but the root cause is sequencing, not saturation</w:t>
      </w:r>
    </w:p>
    <w:p w14:paraId="0000001B" w14:textId="77777777" w:rsidR="00D73936" w:rsidRPr="0061745C" w:rsidRDefault="00000000" w:rsidP="0061745C">
      <w:pPr>
        <w:numPr>
          <w:ilvl w:val="0"/>
          <w:numId w:val="2"/>
        </w:numPr>
        <w:spacing w:before="120" w:after="120" w:line="312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sz w:val="26"/>
          <w:szCs w:val="26"/>
        </w:rPr>
        <w:t>Observation: Across all tenure segments, customers using 3–4 products exhibit a 2–4x higher churn rate than those with 1–2 products. Even loyal users (tenure &gt; 8 years) show spike churn when holding 4 products.</w:t>
      </w:r>
    </w:p>
    <w:p w14:paraId="0000001C" w14:textId="77777777" w:rsidR="00D73936" w:rsidRPr="0061745C" w:rsidRDefault="00000000" w:rsidP="0061745C">
      <w:pPr>
        <w:numPr>
          <w:ilvl w:val="0"/>
          <w:numId w:val="2"/>
        </w:numPr>
        <w:spacing w:before="120" w:after="120" w:line="312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sz w:val="26"/>
          <w:szCs w:val="26"/>
        </w:rPr>
        <w:t>Interpretation: The churn is not caused by product fatigue but likely due to poor alignment between customer readiness and cross-sell timing.</w:t>
      </w:r>
    </w:p>
    <w:p w14:paraId="0000001D" w14:textId="77777777" w:rsidR="00D73936" w:rsidRPr="0061745C" w:rsidRDefault="00000000" w:rsidP="0061745C">
      <w:pPr>
        <w:numPr>
          <w:ilvl w:val="0"/>
          <w:numId w:val="2"/>
        </w:numPr>
        <w:spacing w:before="120" w:after="120" w:line="312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sz w:val="26"/>
          <w:szCs w:val="26"/>
        </w:rPr>
        <w:t>Implication: The current playbook may treat product ownership as success—but without behavioral fit, it accelerates dissatisfaction and departure.</w:t>
      </w:r>
    </w:p>
    <w:p w14:paraId="0000001E" w14:textId="77777777" w:rsidR="00D73936" w:rsidRPr="0061745C" w:rsidRDefault="00000000" w:rsidP="0061745C">
      <w:pPr>
        <w:spacing w:before="120" w:after="120" w:line="312" w:lineRule="auto"/>
        <w:jc w:val="both"/>
        <w:rPr>
          <w:rFonts w:asciiTheme="majorHAnsi" w:eastAsia="Times New Roman" w:hAnsiTheme="majorHAnsi" w:cstheme="majorHAnsi"/>
          <w:b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b/>
          <w:sz w:val="26"/>
          <w:szCs w:val="26"/>
        </w:rPr>
        <w:t>Insight 7: Simplicity scales loyalty—tenured customers with a single product show strongest retention</w:t>
      </w:r>
    </w:p>
    <w:p w14:paraId="0000001F" w14:textId="77777777" w:rsidR="00D73936" w:rsidRPr="0061745C" w:rsidRDefault="00000000" w:rsidP="0061745C">
      <w:pPr>
        <w:numPr>
          <w:ilvl w:val="0"/>
          <w:numId w:val="6"/>
        </w:numPr>
        <w:spacing w:before="120" w:after="120" w:line="312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sz w:val="26"/>
          <w:szCs w:val="26"/>
        </w:rPr>
        <w:t>Observation: Customers holding only 1 product but with tenure &gt; 8 years exhibit the lowest churn (~6%), outperforming many multi-product cohorts.</w:t>
      </w:r>
    </w:p>
    <w:p w14:paraId="00000020" w14:textId="77777777" w:rsidR="00D73936" w:rsidRPr="0061745C" w:rsidRDefault="00000000" w:rsidP="0061745C">
      <w:pPr>
        <w:numPr>
          <w:ilvl w:val="0"/>
          <w:numId w:val="6"/>
        </w:numPr>
        <w:spacing w:before="120" w:after="120" w:line="312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sz w:val="26"/>
          <w:szCs w:val="26"/>
        </w:rPr>
        <w:lastRenderedPageBreak/>
        <w:t>Interpretation: Loyalty does not stem from portfolio breadth, but from product fit and long-term reliability. Over-engineering the relationship may disrupt this natural bond.</w:t>
      </w:r>
    </w:p>
    <w:p w14:paraId="00000021" w14:textId="77777777" w:rsidR="00D73936" w:rsidRPr="0061745C" w:rsidRDefault="00000000" w:rsidP="0061745C">
      <w:pPr>
        <w:numPr>
          <w:ilvl w:val="0"/>
          <w:numId w:val="6"/>
        </w:numPr>
        <w:spacing w:before="120" w:after="120" w:line="312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sz w:val="26"/>
          <w:szCs w:val="26"/>
        </w:rPr>
        <w:t>Implication: Product count is a misleading KPI when decoupled from tenure or satisfaction metrics. Simplicity and depth can outperform breadth.</w:t>
      </w:r>
    </w:p>
    <w:p w14:paraId="00000022" w14:textId="77777777" w:rsidR="00D73936" w:rsidRPr="0061745C" w:rsidRDefault="00000000" w:rsidP="0061745C">
      <w:pPr>
        <w:spacing w:before="120" w:after="120" w:line="312" w:lineRule="auto"/>
        <w:jc w:val="both"/>
        <w:rPr>
          <w:rFonts w:asciiTheme="majorHAnsi" w:eastAsia="Times New Roman" w:hAnsiTheme="majorHAnsi" w:cstheme="majorHAnsi"/>
          <w:b/>
          <w:sz w:val="26"/>
          <w:szCs w:val="26"/>
        </w:rPr>
      </w:pPr>
      <w:r w:rsidRPr="0061745C">
        <w:rPr>
          <w:rFonts w:asciiTheme="majorHAnsi" w:eastAsia="Gungsuh" w:hAnsiTheme="majorHAnsi" w:cstheme="majorHAnsi"/>
          <w:b/>
          <w:sz w:val="26"/>
          <w:szCs w:val="26"/>
        </w:rPr>
        <w:t>Insight 8: Mid-tier RFM clusters (R = 2–3, F ≥ 3, M ≥ 3) represent the retention sweet spot</w:t>
      </w:r>
    </w:p>
    <w:p w14:paraId="00000023" w14:textId="77777777" w:rsidR="00D73936" w:rsidRPr="0061745C" w:rsidRDefault="00000000" w:rsidP="0061745C">
      <w:pPr>
        <w:numPr>
          <w:ilvl w:val="0"/>
          <w:numId w:val="3"/>
        </w:numPr>
        <w:spacing w:before="120" w:after="120" w:line="312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sz w:val="26"/>
          <w:szCs w:val="26"/>
        </w:rPr>
        <w:t>Observation: Clusters like 213, 243, and 223 show churn rates below 15%—despite not ranking as top-tier customers.</w:t>
      </w:r>
    </w:p>
    <w:p w14:paraId="00000024" w14:textId="77777777" w:rsidR="00D73936" w:rsidRPr="0061745C" w:rsidRDefault="00000000" w:rsidP="0061745C">
      <w:pPr>
        <w:numPr>
          <w:ilvl w:val="0"/>
          <w:numId w:val="3"/>
        </w:numPr>
        <w:spacing w:before="120" w:after="120" w:line="312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sz w:val="26"/>
          <w:szCs w:val="26"/>
        </w:rPr>
        <w:t>Interpretation: These users are in a “maturing habit zone”—regularly engaged, not new, not yet disengaged. They are most primed for retention investment.</w:t>
      </w:r>
    </w:p>
    <w:p w14:paraId="00000025" w14:textId="77777777" w:rsidR="00D73936" w:rsidRPr="0061745C" w:rsidRDefault="00000000" w:rsidP="0061745C">
      <w:pPr>
        <w:numPr>
          <w:ilvl w:val="0"/>
          <w:numId w:val="3"/>
        </w:numPr>
        <w:spacing w:before="120" w:after="120" w:line="312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sz w:val="26"/>
          <w:szCs w:val="26"/>
        </w:rPr>
        <w:t>Implication: High ROI lies in nurturing the mid-funnel, not just rescuing top or bottom RFM tiers.</w:t>
      </w:r>
    </w:p>
    <w:p w14:paraId="00000026" w14:textId="77777777" w:rsidR="00D73936" w:rsidRPr="0061745C" w:rsidRDefault="00000000" w:rsidP="0061745C">
      <w:pPr>
        <w:pStyle w:val="Heading2"/>
        <w:keepNext w:val="0"/>
        <w:keepLines w:val="0"/>
        <w:spacing w:before="120" w:line="312" w:lineRule="auto"/>
        <w:jc w:val="both"/>
        <w:rPr>
          <w:rFonts w:asciiTheme="majorHAnsi" w:eastAsia="Times New Roman" w:hAnsiTheme="majorHAnsi" w:cstheme="majorHAnsi"/>
          <w:b/>
          <w:sz w:val="26"/>
          <w:szCs w:val="26"/>
        </w:rPr>
      </w:pPr>
      <w:bookmarkStart w:id="5" w:name="_bqi18t5lxfu5" w:colFirst="0" w:colLast="0"/>
      <w:bookmarkEnd w:id="5"/>
      <w:r w:rsidRPr="0061745C">
        <w:rPr>
          <w:rFonts w:asciiTheme="majorHAnsi" w:eastAsia="Times New Roman" w:hAnsiTheme="majorHAnsi" w:cstheme="majorHAnsi"/>
          <w:b/>
          <w:sz w:val="26"/>
          <w:szCs w:val="26"/>
        </w:rPr>
        <w:t>Strategic Recommendations</w:t>
      </w:r>
    </w:p>
    <w:p w14:paraId="00000027" w14:textId="77777777" w:rsidR="00D73936" w:rsidRPr="0061745C" w:rsidRDefault="00000000" w:rsidP="0061745C">
      <w:pPr>
        <w:spacing w:before="120" w:after="120" w:line="312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sz w:val="26"/>
          <w:szCs w:val="26"/>
        </w:rPr>
        <w:t xml:space="preserve">Each recommendation is designed to be </w:t>
      </w:r>
      <w:r w:rsidRPr="0061745C">
        <w:rPr>
          <w:rFonts w:asciiTheme="majorHAnsi" w:eastAsia="Times New Roman" w:hAnsiTheme="majorHAnsi" w:cstheme="majorHAnsi"/>
          <w:i/>
          <w:sz w:val="26"/>
          <w:szCs w:val="26"/>
        </w:rPr>
        <w:t>targeted</w:t>
      </w:r>
      <w:r w:rsidRPr="0061745C">
        <w:rPr>
          <w:rFonts w:asciiTheme="majorHAnsi" w:eastAsia="Times New Roman" w:hAnsiTheme="majorHAnsi" w:cstheme="majorHAnsi"/>
          <w:sz w:val="26"/>
          <w:szCs w:val="26"/>
        </w:rPr>
        <w:t xml:space="preserve">, </w:t>
      </w:r>
      <w:r w:rsidRPr="0061745C">
        <w:rPr>
          <w:rFonts w:asciiTheme="majorHAnsi" w:eastAsia="Times New Roman" w:hAnsiTheme="majorHAnsi" w:cstheme="majorHAnsi"/>
          <w:i/>
          <w:sz w:val="26"/>
          <w:szCs w:val="26"/>
        </w:rPr>
        <w:t>measurable</w:t>
      </w:r>
      <w:r w:rsidRPr="0061745C">
        <w:rPr>
          <w:rFonts w:asciiTheme="majorHAnsi" w:eastAsia="Times New Roman" w:hAnsiTheme="majorHAnsi" w:cstheme="majorHAnsi"/>
          <w:sz w:val="26"/>
          <w:szCs w:val="26"/>
        </w:rPr>
        <w:t xml:space="preserve">, and </w:t>
      </w:r>
      <w:r w:rsidRPr="0061745C">
        <w:rPr>
          <w:rFonts w:asciiTheme="majorHAnsi" w:eastAsia="Times New Roman" w:hAnsiTheme="majorHAnsi" w:cstheme="majorHAnsi"/>
          <w:i/>
          <w:sz w:val="26"/>
          <w:szCs w:val="26"/>
        </w:rPr>
        <w:t>operationally feasible</w:t>
      </w:r>
      <w:r w:rsidRPr="0061745C">
        <w:rPr>
          <w:rFonts w:asciiTheme="majorHAnsi" w:eastAsia="Times New Roman" w:hAnsiTheme="majorHAnsi" w:cstheme="majorHAnsi"/>
          <w:sz w:val="26"/>
          <w:szCs w:val="26"/>
        </w:rPr>
        <w:t>, addressing the pain points identified above.</w:t>
      </w:r>
    </w:p>
    <w:p w14:paraId="00000028" w14:textId="77777777" w:rsidR="00D73936" w:rsidRPr="0061745C" w:rsidRDefault="00000000" w:rsidP="0061745C">
      <w:pPr>
        <w:pStyle w:val="Heading3"/>
        <w:keepNext w:val="0"/>
        <w:keepLines w:val="0"/>
        <w:spacing w:before="120" w:after="120" w:line="312" w:lineRule="auto"/>
        <w:jc w:val="both"/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</w:pPr>
      <w:bookmarkStart w:id="6" w:name="_czwrazt6hh01" w:colFirst="0" w:colLast="0"/>
      <w:bookmarkEnd w:id="6"/>
      <w:r w:rsidRPr="0061745C"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  <w:t>Recommendation 1: Implement a "Loyalty Recovery Protocol" for at-risk RFM Tier-1 customers</w:t>
      </w:r>
    </w:p>
    <w:p w14:paraId="00000029" w14:textId="77777777" w:rsidR="00D73936" w:rsidRPr="0061745C" w:rsidRDefault="00000000" w:rsidP="0061745C">
      <w:pPr>
        <w:numPr>
          <w:ilvl w:val="0"/>
          <w:numId w:val="14"/>
        </w:numPr>
        <w:spacing w:before="120" w:after="120" w:line="312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b/>
          <w:sz w:val="26"/>
          <w:szCs w:val="26"/>
        </w:rPr>
        <w:t>What</w:t>
      </w:r>
      <w:r w:rsidRPr="0061745C">
        <w:rPr>
          <w:rFonts w:asciiTheme="majorHAnsi" w:eastAsia="Times New Roman" w:hAnsiTheme="majorHAnsi" w:cstheme="majorHAnsi"/>
          <w:sz w:val="26"/>
          <w:szCs w:val="26"/>
        </w:rPr>
        <w:t>: Identify customers with high RFM scores showing declining activity, and proactively offer loyalty reinforcement (RM support, fee waivers, exclusive offers).</w:t>
      </w:r>
    </w:p>
    <w:p w14:paraId="0000002A" w14:textId="77777777" w:rsidR="00D73936" w:rsidRPr="0061745C" w:rsidRDefault="00000000" w:rsidP="0061745C">
      <w:pPr>
        <w:numPr>
          <w:ilvl w:val="0"/>
          <w:numId w:val="14"/>
        </w:numPr>
        <w:spacing w:before="120" w:after="120" w:line="312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b/>
          <w:sz w:val="26"/>
          <w:szCs w:val="26"/>
        </w:rPr>
        <w:t>Why</w:t>
      </w:r>
      <w:r w:rsidRPr="0061745C">
        <w:rPr>
          <w:rFonts w:asciiTheme="majorHAnsi" w:eastAsia="Times New Roman" w:hAnsiTheme="majorHAnsi" w:cstheme="majorHAnsi"/>
          <w:sz w:val="26"/>
          <w:szCs w:val="26"/>
        </w:rPr>
        <w:t>: These users are high LTV but silently disengaging — regaining them is more cost-effective than acquiring new customers.</w:t>
      </w:r>
    </w:p>
    <w:p w14:paraId="0000002B" w14:textId="77777777" w:rsidR="00D73936" w:rsidRPr="0061745C" w:rsidRDefault="00000000" w:rsidP="0061745C">
      <w:pPr>
        <w:numPr>
          <w:ilvl w:val="0"/>
          <w:numId w:val="14"/>
        </w:numPr>
        <w:spacing w:before="120" w:after="120" w:line="312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b/>
          <w:sz w:val="26"/>
          <w:szCs w:val="26"/>
        </w:rPr>
        <w:t>Impact</w:t>
      </w:r>
      <w:r w:rsidRPr="0061745C">
        <w:rPr>
          <w:rFonts w:asciiTheme="majorHAnsi" w:eastAsia="Times New Roman" w:hAnsiTheme="majorHAnsi" w:cstheme="majorHAnsi"/>
          <w:sz w:val="26"/>
          <w:szCs w:val="26"/>
        </w:rPr>
        <w:t>: Prevent churn from top 15–20% revenue contributors.</w:t>
      </w:r>
    </w:p>
    <w:p w14:paraId="0000002C" w14:textId="77777777" w:rsidR="00D73936" w:rsidRPr="0061745C" w:rsidRDefault="00000000" w:rsidP="0061745C">
      <w:pPr>
        <w:pStyle w:val="Heading3"/>
        <w:keepNext w:val="0"/>
        <w:keepLines w:val="0"/>
        <w:spacing w:before="120" w:after="120" w:line="312" w:lineRule="auto"/>
        <w:jc w:val="both"/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</w:pPr>
      <w:bookmarkStart w:id="7" w:name="_181h3d8woilt" w:colFirst="0" w:colLast="0"/>
      <w:bookmarkEnd w:id="7"/>
      <w:r w:rsidRPr="0061745C"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  <w:t>Recommendation 2: Redesign cross-sell strategy using stage-based product progression models</w:t>
      </w:r>
    </w:p>
    <w:p w14:paraId="0000002D" w14:textId="77777777" w:rsidR="00D73936" w:rsidRPr="0061745C" w:rsidRDefault="00000000" w:rsidP="0061745C">
      <w:pPr>
        <w:numPr>
          <w:ilvl w:val="0"/>
          <w:numId w:val="11"/>
        </w:numPr>
        <w:spacing w:before="120" w:after="120" w:line="312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b/>
          <w:sz w:val="26"/>
          <w:szCs w:val="26"/>
        </w:rPr>
        <w:t>What</w:t>
      </w:r>
      <w:r w:rsidRPr="0061745C">
        <w:rPr>
          <w:rFonts w:asciiTheme="majorHAnsi" w:eastAsia="Times New Roman" w:hAnsiTheme="majorHAnsi" w:cstheme="majorHAnsi"/>
          <w:sz w:val="26"/>
          <w:szCs w:val="26"/>
        </w:rPr>
        <w:t>: Restructure the cross-sell playbook based on tenure and behavioral maturity (e.g. only offer product B if product A is actively used for &gt;6 months).</w:t>
      </w:r>
    </w:p>
    <w:p w14:paraId="0000002E" w14:textId="77777777" w:rsidR="00D73936" w:rsidRPr="0061745C" w:rsidRDefault="00000000" w:rsidP="0061745C">
      <w:pPr>
        <w:numPr>
          <w:ilvl w:val="0"/>
          <w:numId w:val="11"/>
        </w:numPr>
        <w:spacing w:before="120" w:after="120" w:line="312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b/>
          <w:sz w:val="26"/>
          <w:szCs w:val="26"/>
        </w:rPr>
        <w:t>Why</w:t>
      </w:r>
      <w:r w:rsidRPr="0061745C">
        <w:rPr>
          <w:rFonts w:asciiTheme="majorHAnsi" w:eastAsia="Times New Roman" w:hAnsiTheme="majorHAnsi" w:cstheme="majorHAnsi"/>
          <w:sz w:val="26"/>
          <w:szCs w:val="26"/>
        </w:rPr>
        <w:t>: Prevent early burnout or buyer’s remorse by ensuring readiness before upsell.</w:t>
      </w:r>
    </w:p>
    <w:p w14:paraId="0000002F" w14:textId="77777777" w:rsidR="00D73936" w:rsidRPr="0061745C" w:rsidRDefault="00000000" w:rsidP="0061745C">
      <w:pPr>
        <w:numPr>
          <w:ilvl w:val="0"/>
          <w:numId w:val="11"/>
        </w:numPr>
        <w:spacing w:before="120" w:after="120" w:line="312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b/>
          <w:sz w:val="26"/>
          <w:szCs w:val="26"/>
        </w:rPr>
        <w:t>Impact</w:t>
      </w:r>
      <w:r w:rsidRPr="0061745C">
        <w:rPr>
          <w:rFonts w:asciiTheme="majorHAnsi" w:eastAsia="Times New Roman" w:hAnsiTheme="majorHAnsi" w:cstheme="majorHAnsi"/>
          <w:sz w:val="26"/>
          <w:szCs w:val="26"/>
        </w:rPr>
        <w:t>: Lower churn among new multi-product users by &gt;20% within 6 months.</w:t>
      </w:r>
    </w:p>
    <w:p w14:paraId="00000030" w14:textId="77777777" w:rsidR="00D73936" w:rsidRPr="0061745C" w:rsidRDefault="00000000" w:rsidP="0061745C">
      <w:pPr>
        <w:pStyle w:val="Heading3"/>
        <w:keepNext w:val="0"/>
        <w:keepLines w:val="0"/>
        <w:spacing w:before="120" w:after="120" w:line="312" w:lineRule="auto"/>
        <w:jc w:val="both"/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</w:pPr>
      <w:bookmarkStart w:id="8" w:name="_vriuvtc6rg3x" w:colFirst="0" w:colLast="0"/>
      <w:bookmarkEnd w:id="8"/>
      <w:r w:rsidRPr="0061745C"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  <w:t>Recommendation 3: Launch a "Digital Companion Track" for 45+ customers</w:t>
      </w:r>
    </w:p>
    <w:p w14:paraId="00000031" w14:textId="77777777" w:rsidR="00D73936" w:rsidRPr="0061745C" w:rsidRDefault="00000000" w:rsidP="0061745C">
      <w:pPr>
        <w:numPr>
          <w:ilvl w:val="0"/>
          <w:numId w:val="10"/>
        </w:numPr>
        <w:spacing w:before="120" w:after="120" w:line="312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b/>
          <w:sz w:val="26"/>
          <w:szCs w:val="26"/>
        </w:rPr>
        <w:t>What</w:t>
      </w:r>
      <w:r w:rsidRPr="0061745C">
        <w:rPr>
          <w:rFonts w:asciiTheme="majorHAnsi" w:eastAsia="Times New Roman" w:hAnsiTheme="majorHAnsi" w:cstheme="majorHAnsi"/>
          <w:sz w:val="26"/>
          <w:szCs w:val="26"/>
        </w:rPr>
        <w:t>: Provide onboarding workshops, simplified app modes, and dedicated support hotline for customers aged over 45.</w:t>
      </w:r>
    </w:p>
    <w:p w14:paraId="00000032" w14:textId="77777777" w:rsidR="00D73936" w:rsidRPr="0061745C" w:rsidRDefault="00000000" w:rsidP="0061745C">
      <w:pPr>
        <w:numPr>
          <w:ilvl w:val="0"/>
          <w:numId w:val="10"/>
        </w:numPr>
        <w:spacing w:before="120" w:after="120" w:line="312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b/>
          <w:sz w:val="26"/>
          <w:szCs w:val="26"/>
        </w:rPr>
        <w:lastRenderedPageBreak/>
        <w:t>Why</w:t>
      </w:r>
      <w:r w:rsidRPr="0061745C">
        <w:rPr>
          <w:rFonts w:asciiTheme="majorHAnsi" w:eastAsia="Times New Roman" w:hAnsiTheme="majorHAnsi" w:cstheme="majorHAnsi"/>
          <w:sz w:val="26"/>
          <w:szCs w:val="26"/>
        </w:rPr>
        <w:t>: Address silent churn driven by digital discomfort rather than dissatisfaction.</w:t>
      </w:r>
    </w:p>
    <w:p w14:paraId="00000033" w14:textId="77777777" w:rsidR="00D73936" w:rsidRPr="0061745C" w:rsidRDefault="00000000" w:rsidP="0061745C">
      <w:pPr>
        <w:numPr>
          <w:ilvl w:val="0"/>
          <w:numId w:val="10"/>
        </w:numPr>
        <w:spacing w:before="120" w:after="120" w:line="312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b/>
          <w:sz w:val="26"/>
          <w:szCs w:val="26"/>
        </w:rPr>
        <w:t>Impact</w:t>
      </w:r>
      <w:r w:rsidRPr="0061745C">
        <w:rPr>
          <w:rFonts w:asciiTheme="majorHAnsi" w:eastAsia="Times New Roman" w:hAnsiTheme="majorHAnsi" w:cstheme="majorHAnsi"/>
          <w:sz w:val="26"/>
          <w:szCs w:val="26"/>
        </w:rPr>
        <w:t>: Retain 30–50% of a high-value cohort often overlooked in digital strategy.</w:t>
      </w:r>
    </w:p>
    <w:p w14:paraId="00000034" w14:textId="77777777" w:rsidR="00D73936" w:rsidRPr="0061745C" w:rsidRDefault="00000000" w:rsidP="0061745C">
      <w:pPr>
        <w:spacing w:before="120" w:after="120" w:line="312" w:lineRule="auto"/>
        <w:jc w:val="both"/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  <w:t>Recommendation 4: Suspend market scaling in Germany pending root-cause analysis</w:t>
      </w:r>
    </w:p>
    <w:p w14:paraId="00000035" w14:textId="77777777" w:rsidR="00D73936" w:rsidRPr="0061745C" w:rsidRDefault="00000000" w:rsidP="0061745C">
      <w:pPr>
        <w:numPr>
          <w:ilvl w:val="0"/>
          <w:numId w:val="16"/>
        </w:numPr>
        <w:spacing w:before="120" w:after="120" w:line="312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b/>
          <w:sz w:val="26"/>
          <w:szCs w:val="26"/>
        </w:rPr>
        <w:t>What</w:t>
      </w:r>
      <w:r w:rsidRPr="0061745C">
        <w:rPr>
          <w:rFonts w:asciiTheme="majorHAnsi" w:eastAsia="Times New Roman" w:hAnsiTheme="majorHAnsi" w:cstheme="majorHAnsi"/>
          <w:sz w:val="26"/>
          <w:szCs w:val="26"/>
        </w:rPr>
        <w:t>: Halt marketing expansion in Germany and initiate voice-of-customer research to reassess product-market alignment.</w:t>
      </w:r>
    </w:p>
    <w:p w14:paraId="00000036" w14:textId="77777777" w:rsidR="00D73936" w:rsidRPr="0061745C" w:rsidRDefault="00000000" w:rsidP="0061745C">
      <w:pPr>
        <w:numPr>
          <w:ilvl w:val="0"/>
          <w:numId w:val="16"/>
        </w:numPr>
        <w:spacing w:before="120" w:after="120" w:line="312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b/>
          <w:sz w:val="26"/>
          <w:szCs w:val="26"/>
        </w:rPr>
        <w:t>Why</w:t>
      </w:r>
      <w:r w:rsidRPr="0061745C">
        <w:rPr>
          <w:rFonts w:asciiTheme="majorHAnsi" w:eastAsia="Times New Roman" w:hAnsiTheme="majorHAnsi" w:cstheme="majorHAnsi"/>
          <w:sz w:val="26"/>
          <w:szCs w:val="26"/>
        </w:rPr>
        <w:t>: Persisting without fit leads to burn-rate inefficiency and margin erosion.</w:t>
      </w:r>
    </w:p>
    <w:p w14:paraId="00000037" w14:textId="77777777" w:rsidR="00D73936" w:rsidRPr="0061745C" w:rsidRDefault="00000000" w:rsidP="0061745C">
      <w:pPr>
        <w:numPr>
          <w:ilvl w:val="0"/>
          <w:numId w:val="16"/>
        </w:numPr>
        <w:spacing w:before="120" w:after="120" w:line="312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b/>
          <w:sz w:val="26"/>
          <w:szCs w:val="26"/>
        </w:rPr>
        <w:t>Impact</w:t>
      </w:r>
      <w:r w:rsidRPr="0061745C">
        <w:rPr>
          <w:rFonts w:asciiTheme="majorHAnsi" w:eastAsia="Times New Roman" w:hAnsiTheme="majorHAnsi" w:cstheme="majorHAnsi"/>
          <w:sz w:val="26"/>
          <w:szCs w:val="26"/>
        </w:rPr>
        <w:t>: Prevent unnecessary CAC waste; reallocate resources to France (low churn, high base).</w:t>
      </w:r>
    </w:p>
    <w:p w14:paraId="00000038" w14:textId="77777777" w:rsidR="00D73936" w:rsidRPr="0061745C" w:rsidRDefault="00000000" w:rsidP="0061745C">
      <w:pPr>
        <w:spacing w:before="120" w:after="120" w:line="312" w:lineRule="auto"/>
        <w:jc w:val="both"/>
        <w:rPr>
          <w:rFonts w:asciiTheme="majorHAnsi" w:eastAsia="Times New Roman" w:hAnsiTheme="majorHAnsi" w:cstheme="majorHAnsi"/>
          <w:b/>
          <w:sz w:val="26"/>
          <w:szCs w:val="26"/>
        </w:rPr>
      </w:pPr>
      <w:r w:rsidRPr="0061745C">
        <w:rPr>
          <w:rFonts w:asciiTheme="majorHAnsi" w:eastAsia="Gungsuh" w:hAnsiTheme="majorHAnsi" w:cstheme="majorHAnsi"/>
          <w:b/>
          <w:sz w:val="26"/>
          <w:szCs w:val="26"/>
        </w:rPr>
        <w:t>Recommendation 5: Design onboarding playbooks tailored for high-value new customers (R = 5, M ≥ 4)</w:t>
      </w:r>
    </w:p>
    <w:p w14:paraId="00000039" w14:textId="77777777" w:rsidR="00D73936" w:rsidRPr="0061745C" w:rsidRDefault="00000000" w:rsidP="0061745C">
      <w:pPr>
        <w:numPr>
          <w:ilvl w:val="0"/>
          <w:numId w:val="15"/>
        </w:numPr>
        <w:spacing w:before="120" w:after="120" w:line="312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b/>
          <w:sz w:val="26"/>
          <w:szCs w:val="26"/>
        </w:rPr>
        <w:t>What</w:t>
      </w:r>
      <w:r w:rsidRPr="0061745C">
        <w:rPr>
          <w:rFonts w:asciiTheme="majorHAnsi" w:eastAsia="Times New Roman" w:hAnsiTheme="majorHAnsi" w:cstheme="majorHAnsi"/>
          <w:sz w:val="26"/>
          <w:szCs w:val="26"/>
        </w:rPr>
        <w:t>: Build a structured 30-day post-acquisition journey, including onboarding calls, first-use nudges, and early satisfaction checks for new but high-Monetary users.</w:t>
      </w:r>
    </w:p>
    <w:p w14:paraId="0000003A" w14:textId="77777777" w:rsidR="00D73936" w:rsidRPr="0061745C" w:rsidRDefault="00000000" w:rsidP="0061745C">
      <w:pPr>
        <w:numPr>
          <w:ilvl w:val="0"/>
          <w:numId w:val="15"/>
        </w:numPr>
        <w:spacing w:before="120" w:after="120" w:line="312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b/>
          <w:sz w:val="26"/>
          <w:szCs w:val="26"/>
        </w:rPr>
        <w:t>Why</w:t>
      </w:r>
      <w:r w:rsidRPr="0061745C">
        <w:rPr>
          <w:rFonts w:asciiTheme="majorHAnsi" w:eastAsia="Times New Roman" w:hAnsiTheme="majorHAnsi" w:cstheme="majorHAnsi"/>
          <w:sz w:val="26"/>
          <w:szCs w:val="26"/>
        </w:rPr>
        <w:t>: Prevent premature churn by transitioning users from acquisition to activation via relationship—not just transaction.</w:t>
      </w:r>
    </w:p>
    <w:p w14:paraId="0000003B" w14:textId="77777777" w:rsidR="00D73936" w:rsidRPr="0061745C" w:rsidRDefault="00000000" w:rsidP="0061745C">
      <w:pPr>
        <w:numPr>
          <w:ilvl w:val="0"/>
          <w:numId w:val="15"/>
        </w:numPr>
        <w:spacing w:before="120" w:after="120" w:line="312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b/>
          <w:sz w:val="26"/>
          <w:szCs w:val="26"/>
        </w:rPr>
        <w:t>Impact</w:t>
      </w:r>
      <w:r w:rsidRPr="0061745C">
        <w:rPr>
          <w:rFonts w:asciiTheme="majorHAnsi" w:eastAsia="Times New Roman" w:hAnsiTheme="majorHAnsi" w:cstheme="majorHAnsi"/>
          <w:sz w:val="26"/>
          <w:szCs w:val="26"/>
        </w:rPr>
        <w:t>: Increase Day-30 retention among new high-LTV customers by &gt;25%.</w:t>
      </w:r>
    </w:p>
    <w:p w14:paraId="0000003C" w14:textId="77777777" w:rsidR="00D73936" w:rsidRPr="0061745C" w:rsidRDefault="00000000" w:rsidP="0061745C">
      <w:pPr>
        <w:spacing w:before="120" w:after="120" w:line="312" w:lineRule="auto"/>
        <w:jc w:val="both"/>
        <w:rPr>
          <w:rFonts w:asciiTheme="majorHAnsi" w:eastAsia="Times New Roman" w:hAnsiTheme="majorHAnsi" w:cstheme="majorHAnsi"/>
          <w:b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b/>
          <w:sz w:val="26"/>
          <w:szCs w:val="26"/>
        </w:rPr>
        <w:t>Recommendation 6: Shift from product-based to lifecycle-based cross-sell sequencing</w:t>
      </w:r>
    </w:p>
    <w:p w14:paraId="0000003D" w14:textId="77777777" w:rsidR="00D73936" w:rsidRPr="0061745C" w:rsidRDefault="00000000" w:rsidP="0061745C">
      <w:pPr>
        <w:numPr>
          <w:ilvl w:val="0"/>
          <w:numId w:val="12"/>
        </w:numPr>
        <w:spacing w:before="120" w:after="120" w:line="312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b/>
          <w:sz w:val="26"/>
          <w:szCs w:val="26"/>
        </w:rPr>
        <w:t>What</w:t>
      </w:r>
      <w:r w:rsidRPr="0061745C">
        <w:rPr>
          <w:rFonts w:asciiTheme="majorHAnsi" w:eastAsia="Gungsuh" w:hAnsiTheme="majorHAnsi" w:cstheme="majorHAnsi"/>
          <w:sz w:val="26"/>
          <w:szCs w:val="26"/>
        </w:rPr>
        <w:t>: Redefine multi-product strategy based on tenure stages—delaying 3rd+ product offers until ≥12 months of active engagement.</w:t>
      </w:r>
    </w:p>
    <w:p w14:paraId="0000003E" w14:textId="77777777" w:rsidR="00D73936" w:rsidRPr="0061745C" w:rsidRDefault="00000000" w:rsidP="0061745C">
      <w:pPr>
        <w:numPr>
          <w:ilvl w:val="0"/>
          <w:numId w:val="12"/>
        </w:numPr>
        <w:spacing w:before="120" w:after="120" w:line="312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b/>
          <w:sz w:val="26"/>
          <w:szCs w:val="26"/>
        </w:rPr>
        <w:t>Why</w:t>
      </w:r>
      <w:r w:rsidRPr="0061745C">
        <w:rPr>
          <w:rFonts w:asciiTheme="majorHAnsi" w:eastAsia="Times New Roman" w:hAnsiTheme="majorHAnsi" w:cstheme="majorHAnsi"/>
          <w:sz w:val="26"/>
          <w:szCs w:val="26"/>
        </w:rPr>
        <w:t>: Align product rollout with readiness to avoid overextension and disengagement.</w:t>
      </w:r>
    </w:p>
    <w:p w14:paraId="0000003F" w14:textId="77777777" w:rsidR="00D73936" w:rsidRPr="0061745C" w:rsidRDefault="00000000" w:rsidP="0061745C">
      <w:pPr>
        <w:numPr>
          <w:ilvl w:val="0"/>
          <w:numId w:val="12"/>
        </w:numPr>
        <w:spacing w:before="120" w:after="120" w:line="312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b/>
          <w:sz w:val="26"/>
          <w:szCs w:val="26"/>
        </w:rPr>
        <w:t>Impact</w:t>
      </w:r>
      <w:r w:rsidRPr="0061745C">
        <w:rPr>
          <w:rFonts w:asciiTheme="majorHAnsi" w:eastAsia="Times New Roman" w:hAnsiTheme="majorHAnsi" w:cstheme="majorHAnsi"/>
          <w:sz w:val="26"/>
          <w:szCs w:val="26"/>
        </w:rPr>
        <w:t>: Reduce churn among new 3–4 product holders by 30%+.</w:t>
      </w:r>
    </w:p>
    <w:p w14:paraId="00000040" w14:textId="77777777" w:rsidR="00D73936" w:rsidRPr="0061745C" w:rsidRDefault="00000000" w:rsidP="0061745C">
      <w:pPr>
        <w:spacing w:before="120" w:after="120" w:line="312" w:lineRule="auto"/>
        <w:jc w:val="both"/>
        <w:rPr>
          <w:rFonts w:asciiTheme="majorHAnsi" w:eastAsia="Times New Roman" w:hAnsiTheme="majorHAnsi" w:cstheme="majorHAnsi"/>
          <w:b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b/>
          <w:sz w:val="26"/>
          <w:szCs w:val="26"/>
        </w:rPr>
        <w:t>Recommendation 7: Establish a “Core Simplicity” loyalty tier for long-term single-product users</w:t>
      </w:r>
    </w:p>
    <w:p w14:paraId="00000041" w14:textId="77777777" w:rsidR="00D73936" w:rsidRPr="0061745C" w:rsidRDefault="00000000" w:rsidP="0061745C">
      <w:pPr>
        <w:numPr>
          <w:ilvl w:val="0"/>
          <w:numId w:val="8"/>
        </w:numPr>
        <w:spacing w:before="120" w:after="120" w:line="312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b/>
          <w:sz w:val="26"/>
          <w:szCs w:val="26"/>
        </w:rPr>
        <w:t>What</w:t>
      </w:r>
      <w:r w:rsidRPr="0061745C">
        <w:rPr>
          <w:rFonts w:asciiTheme="majorHAnsi" w:eastAsia="Times New Roman" w:hAnsiTheme="majorHAnsi" w:cstheme="majorHAnsi"/>
          <w:sz w:val="26"/>
          <w:szCs w:val="26"/>
        </w:rPr>
        <w:t>: Launch a benefits program recognizing customers with &gt;5 years tenure on a single core product (e.g., fee waivers, fast-track service).</w:t>
      </w:r>
    </w:p>
    <w:p w14:paraId="00000042" w14:textId="77777777" w:rsidR="00D73936" w:rsidRPr="0061745C" w:rsidRDefault="00000000" w:rsidP="0061745C">
      <w:pPr>
        <w:numPr>
          <w:ilvl w:val="0"/>
          <w:numId w:val="8"/>
        </w:numPr>
        <w:spacing w:before="120" w:after="120" w:line="312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b/>
          <w:sz w:val="26"/>
          <w:szCs w:val="26"/>
        </w:rPr>
        <w:t>Why</w:t>
      </w:r>
      <w:r w:rsidRPr="0061745C">
        <w:rPr>
          <w:rFonts w:asciiTheme="majorHAnsi" w:eastAsia="Times New Roman" w:hAnsiTheme="majorHAnsi" w:cstheme="majorHAnsi"/>
          <w:sz w:val="26"/>
          <w:szCs w:val="26"/>
        </w:rPr>
        <w:t>: Reinforce value without pressuring upsell. Simplicity can be a loyalty lever, not a sales gap.</w:t>
      </w:r>
    </w:p>
    <w:p w14:paraId="00000043" w14:textId="77777777" w:rsidR="00D73936" w:rsidRPr="0061745C" w:rsidRDefault="00000000" w:rsidP="0061745C">
      <w:pPr>
        <w:numPr>
          <w:ilvl w:val="0"/>
          <w:numId w:val="8"/>
        </w:numPr>
        <w:spacing w:before="120" w:after="120" w:line="312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b/>
          <w:sz w:val="26"/>
          <w:szCs w:val="26"/>
        </w:rPr>
        <w:t>Impact</w:t>
      </w:r>
      <w:r w:rsidRPr="0061745C">
        <w:rPr>
          <w:rFonts w:asciiTheme="majorHAnsi" w:eastAsia="Times New Roman" w:hAnsiTheme="majorHAnsi" w:cstheme="majorHAnsi"/>
          <w:sz w:val="26"/>
          <w:szCs w:val="26"/>
        </w:rPr>
        <w:t>: Sustain &gt;90% retention in this overlooked but resilient cohort.</w:t>
      </w:r>
    </w:p>
    <w:p w14:paraId="00000044" w14:textId="77777777" w:rsidR="00D73936" w:rsidRPr="0061745C" w:rsidRDefault="00000000" w:rsidP="0061745C">
      <w:pPr>
        <w:spacing w:before="120" w:after="120" w:line="312" w:lineRule="auto"/>
        <w:jc w:val="both"/>
        <w:rPr>
          <w:rFonts w:asciiTheme="majorHAnsi" w:eastAsia="Times New Roman" w:hAnsiTheme="majorHAnsi" w:cstheme="majorHAnsi"/>
          <w:b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b/>
          <w:sz w:val="26"/>
          <w:szCs w:val="26"/>
        </w:rPr>
        <w:t>Recommendation 8: Deploy behavioral nudges in mid-RFM segments to lock habitual usage</w:t>
      </w:r>
    </w:p>
    <w:p w14:paraId="00000045" w14:textId="77777777" w:rsidR="00D73936" w:rsidRPr="0061745C" w:rsidRDefault="00000000" w:rsidP="0061745C">
      <w:pPr>
        <w:numPr>
          <w:ilvl w:val="0"/>
          <w:numId w:val="5"/>
        </w:numPr>
        <w:spacing w:before="120" w:after="120" w:line="312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b/>
          <w:sz w:val="26"/>
          <w:szCs w:val="26"/>
        </w:rPr>
        <w:t>What</w:t>
      </w:r>
      <w:r w:rsidRPr="0061745C">
        <w:rPr>
          <w:rFonts w:asciiTheme="majorHAnsi" w:eastAsia="Times New Roman" w:hAnsiTheme="majorHAnsi" w:cstheme="majorHAnsi"/>
          <w:sz w:val="26"/>
          <w:szCs w:val="26"/>
        </w:rPr>
        <w:t>: Send predictive “stay on track” nudges to users in RFM clusters 2–3-3+ (e.g., personalized progress badges, usage milestones).</w:t>
      </w:r>
    </w:p>
    <w:p w14:paraId="00000046" w14:textId="77777777" w:rsidR="00D73936" w:rsidRPr="0061745C" w:rsidRDefault="00000000" w:rsidP="0061745C">
      <w:pPr>
        <w:numPr>
          <w:ilvl w:val="0"/>
          <w:numId w:val="5"/>
        </w:numPr>
        <w:spacing w:before="120" w:after="120" w:line="312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b/>
          <w:sz w:val="26"/>
          <w:szCs w:val="26"/>
        </w:rPr>
        <w:lastRenderedPageBreak/>
        <w:t>Why</w:t>
      </w:r>
      <w:r w:rsidRPr="0061745C">
        <w:rPr>
          <w:rFonts w:asciiTheme="majorHAnsi" w:eastAsia="Times New Roman" w:hAnsiTheme="majorHAnsi" w:cstheme="majorHAnsi"/>
          <w:sz w:val="26"/>
          <w:szCs w:val="26"/>
        </w:rPr>
        <w:t>: Reinforce routine and identity to convert engagement into loyalty.</w:t>
      </w:r>
    </w:p>
    <w:p w14:paraId="00000047" w14:textId="77777777" w:rsidR="00D73936" w:rsidRPr="0061745C" w:rsidRDefault="00000000" w:rsidP="0061745C">
      <w:pPr>
        <w:numPr>
          <w:ilvl w:val="0"/>
          <w:numId w:val="5"/>
        </w:numPr>
        <w:spacing w:before="120" w:after="120" w:line="312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61745C">
        <w:rPr>
          <w:rFonts w:asciiTheme="majorHAnsi" w:eastAsia="Times New Roman" w:hAnsiTheme="majorHAnsi" w:cstheme="majorHAnsi"/>
          <w:b/>
          <w:sz w:val="26"/>
          <w:szCs w:val="26"/>
        </w:rPr>
        <w:t>Impact</w:t>
      </w:r>
      <w:r w:rsidRPr="0061745C">
        <w:rPr>
          <w:rFonts w:asciiTheme="majorHAnsi" w:eastAsia="Times New Roman" w:hAnsiTheme="majorHAnsi" w:cstheme="majorHAnsi"/>
          <w:sz w:val="26"/>
          <w:szCs w:val="26"/>
        </w:rPr>
        <w:t>: Elevate CLV by 15–20% through low-cost behavioral design.</w:t>
      </w:r>
    </w:p>
    <w:p w14:paraId="00000048" w14:textId="77777777" w:rsidR="00D73936" w:rsidRPr="0061745C" w:rsidRDefault="00D73936" w:rsidP="0061745C">
      <w:pPr>
        <w:spacing w:before="120" w:after="120" w:line="312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</w:p>
    <w:p w14:paraId="00000049" w14:textId="77777777" w:rsidR="00D73936" w:rsidRPr="0061745C" w:rsidRDefault="00D73936" w:rsidP="0061745C">
      <w:pPr>
        <w:spacing w:before="120" w:after="120" w:line="312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</w:p>
    <w:sectPr w:rsidR="00D73936" w:rsidRPr="0061745C" w:rsidSect="0061745C">
      <w:pgSz w:w="11909" w:h="16834" w:code="9"/>
      <w:pgMar w:top="992" w:right="1440" w:bottom="1440" w:left="85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  <w:embedBold r:id="rId1" w:fontKey="{3C85E59F-9919-4858-8369-6162A1313C67}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73F2"/>
    <w:multiLevelType w:val="multilevel"/>
    <w:tmpl w:val="9C9A5D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54231B"/>
    <w:multiLevelType w:val="multilevel"/>
    <w:tmpl w:val="D39A58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0F2241"/>
    <w:multiLevelType w:val="multilevel"/>
    <w:tmpl w:val="8CC6FB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C46CB4"/>
    <w:multiLevelType w:val="multilevel"/>
    <w:tmpl w:val="05BC6B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DF2422"/>
    <w:multiLevelType w:val="multilevel"/>
    <w:tmpl w:val="D5A6C7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1F3C31"/>
    <w:multiLevelType w:val="multilevel"/>
    <w:tmpl w:val="C46CF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340B97"/>
    <w:multiLevelType w:val="multilevel"/>
    <w:tmpl w:val="B290DC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BF7652"/>
    <w:multiLevelType w:val="multilevel"/>
    <w:tmpl w:val="ECC009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6560ADF"/>
    <w:multiLevelType w:val="multilevel"/>
    <w:tmpl w:val="84A64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6A32E87"/>
    <w:multiLevelType w:val="multilevel"/>
    <w:tmpl w:val="37A4FF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18471FE"/>
    <w:multiLevelType w:val="multilevel"/>
    <w:tmpl w:val="E2A8C3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6695338"/>
    <w:multiLevelType w:val="multilevel"/>
    <w:tmpl w:val="CA9E83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CF4449D"/>
    <w:multiLevelType w:val="multilevel"/>
    <w:tmpl w:val="F9EC75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4FA0BA7"/>
    <w:multiLevelType w:val="multilevel"/>
    <w:tmpl w:val="5A62D8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50C50CB"/>
    <w:multiLevelType w:val="multilevel"/>
    <w:tmpl w:val="7518A5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C477595"/>
    <w:multiLevelType w:val="multilevel"/>
    <w:tmpl w:val="6F6881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7115971">
    <w:abstractNumId w:val="4"/>
  </w:num>
  <w:num w:numId="2" w16cid:durableId="286006836">
    <w:abstractNumId w:val="11"/>
  </w:num>
  <w:num w:numId="3" w16cid:durableId="1706521512">
    <w:abstractNumId w:val="13"/>
  </w:num>
  <w:num w:numId="4" w16cid:durableId="124852507">
    <w:abstractNumId w:val="10"/>
  </w:num>
  <w:num w:numId="5" w16cid:durableId="1923560267">
    <w:abstractNumId w:val="9"/>
  </w:num>
  <w:num w:numId="6" w16cid:durableId="672537816">
    <w:abstractNumId w:val="2"/>
  </w:num>
  <w:num w:numId="7" w16cid:durableId="1933081288">
    <w:abstractNumId w:val="15"/>
  </w:num>
  <w:num w:numId="8" w16cid:durableId="2124962096">
    <w:abstractNumId w:val="12"/>
  </w:num>
  <w:num w:numId="9" w16cid:durableId="339821295">
    <w:abstractNumId w:val="6"/>
  </w:num>
  <w:num w:numId="10" w16cid:durableId="462114544">
    <w:abstractNumId w:val="0"/>
  </w:num>
  <w:num w:numId="11" w16cid:durableId="184252874">
    <w:abstractNumId w:val="8"/>
  </w:num>
  <w:num w:numId="12" w16cid:durableId="194079904">
    <w:abstractNumId w:val="7"/>
  </w:num>
  <w:num w:numId="13" w16cid:durableId="150290389">
    <w:abstractNumId w:val="5"/>
  </w:num>
  <w:num w:numId="14" w16cid:durableId="806708569">
    <w:abstractNumId w:val="3"/>
  </w:num>
  <w:num w:numId="15" w16cid:durableId="1736316994">
    <w:abstractNumId w:val="1"/>
  </w:num>
  <w:num w:numId="16" w16cid:durableId="21167473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TrueType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936"/>
    <w:rsid w:val="0061745C"/>
    <w:rsid w:val="00D73936"/>
    <w:rsid w:val="00F6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AFB0EE"/>
  <w15:docId w15:val="{710A0240-5A6F-41FF-9623-3AB5E3C1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1230</Words>
  <Characters>7017</Characters>
  <Application>Microsoft Office Word</Application>
  <DocSecurity>0</DocSecurity>
  <Lines>58</Lines>
  <Paragraphs>16</Paragraphs>
  <ScaleCrop>false</ScaleCrop>
  <Company/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ThaoPT</dc:creator>
  <cp:lastModifiedBy>ThaoPT</cp:lastModifiedBy>
  <cp:revision>2</cp:revision>
  <dcterms:created xsi:type="dcterms:W3CDTF">2025-07-21T08:55:00Z</dcterms:created>
  <dcterms:modified xsi:type="dcterms:W3CDTF">2025-07-21T08:55:00Z</dcterms:modified>
</cp:coreProperties>
</file>