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0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2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3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Mảng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Mảng 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Hàm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Hàm 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7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8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function  2.array  3.properties   4.   5.operation    6.extend   7.command   8.remote access   9.ability  10.convert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29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0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15h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  <w:bookmarkStart w:id="0" w:name="_GoBack"/>
      <w:bookmarkEnd w:id="0"/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875BA5"/>
    <w:rsid w:val="2F705258"/>
    <w:rsid w:val="5CAE5208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1"/>
    <w:pPr>
      <w:ind w:left="1380" w:hanging="36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instancename"/>
    <w:basedOn w:val="8"/>
    <w:uiPriority w:val="0"/>
  </w:style>
  <w:style w:type="character" w:customStyle="1" w:styleId="18">
    <w:name w:val="accesshide"/>
    <w:basedOn w:val="8"/>
    <w:uiPriority w:val="0"/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0">
    <w:name w:val="_Style 23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4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5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6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7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9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30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1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2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3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2023-02-02T13:29:20Z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157BB811CD3A44A1B33916660EA63413</vt:lpwstr>
  </property>
</Properties>
</file>