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5AC1" w14:textId="0CAC2999" w:rsidR="009726EA" w:rsidRPr="001A7EB4" w:rsidRDefault="005956A6" w:rsidP="001A7EB4">
      <w:pPr>
        <w:spacing w:before="120" w:after="120"/>
        <w:jc w:val="both"/>
        <w:rPr>
          <w:b/>
          <w:sz w:val="28"/>
        </w:rPr>
      </w:pPr>
      <w:r>
        <w:rPr>
          <w:b/>
          <w:sz w:val="28"/>
        </w:rPr>
        <w:t>2.2.3. Một số thuật toán</w:t>
      </w:r>
      <w:r w:rsidR="00A67CAC" w:rsidRPr="001A7EB4">
        <w:rPr>
          <w:b/>
          <w:sz w:val="28"/>
        </w:rPr>
        <w:t xml:space="preserve"> tối ưu </w:t>
      </w:r>
      <w:r>
        <w:rPr>
          <w:b/>
          <w:sz w:val="28"/>
        </w:rPr>
        <w:t>khác</w:t>
      </w:r>
    </w:p>
    <w:p w14:paraId="1EE7E3A3" w14:textId="0C2460F9" w:rsidR="001A7EB4" w:rsidRPr="005B1428" w:rsidRDefault="001A7EB4" w:rsidP="001A7EB4">
      <w:pPr>
        <w:spacing w:before="120" w:after="120"/>
        <w:ind w:left="187"/>
        <w:jc w:val="both"/>
        <w:rPr>
          <w:b/>
          <w:i/>
        </w:rPr>
      </w:pPr>
      <w:r w:rsidRPr="005B1428">
        <w:rPr>
          <w:b/>
          <w:i/>
        </w:rPr>
        <w:t>Nesterov accelerated gradient</w:t>
      </w:r>
    </w:p>
    <w:p w14:paraId="37B10398" w14:textId="0F1CCD78" w:rsidR="001A7EB4" w:rsidRDefault="001A7EB4" w:rsidP="00B934CA">
      <w:pPr>
        <w:ind w:firstLine="540"/>
        <w:jc w:val="both"/>
      </w:pPr>
      <w:bookmarkStart w:id="0" w:name="_GoBack"/>
      <w:r w:rsidRPr="001A7EB4">
        <w:t>Nesterov accelerated gradient</w:t>
      </w:r>
      <w:bookmarkEnd w:id="0"/>
      <w:r w:rsidRPr="001A7EB4">
        <w:t xml:space="preserve"> </w:t>
      </w:r>
      <w:r w:rsidR="00F72BCE">
        <w:t>(</w:t>
      </w:r>
      <w:r w:rsidRPr="001A7EB4">
        <w:t>Nesterov</w:t>
      </w:r>
      <w:r w:rsidR="00F72BCE">
        <w:t>,</w:t>
      </w:r>
      <w:r w:rsidRPr="001A7EB4">
        <w:t xml:space="preserve"> 1983</w:t>
      </w:r>
      <w:r w:rsidR="00BE278B">
        <w:t>, 2004</w:t>
      </w:r>
      <w:r w:rsidR="00F72BCE">
        <w:t>)</w:t>
      </w:r>
      <w:r w:rsidRPr="001A7EB4">
        <w:t xml:space="preserve"> là một </w:t>
      </w:r>
      <w:r w:rsidR="00D161C8">
        <w:t>biến thể nhỏ</w:t>
      </w:r>
      <w:r w:rsidRPr="001A7EB4">
        <w:t xml:space="preserve"> của kỹ</w:t>
      </w:r>
      <w:r w:rsidR="00B2401B">
        <w:t xml:space="preserve"> </w:t>
      </w:r>
      <w:r w:rsidRPr="001A7EB4">
        <w:t>thuật momentum cho phép gradients thoát các điểm local minimum</w:t>
      </w:r>
      <w:r w:rsidR="00D161C8">
        <w:t xml:space="preserve">, </w:t>
      </w:r>
      <w:r w:rsidR="00F7115C">
        <w:t xml:space="preserve">khiến </w:t>
      </w:r>
      <w:r w:rsidR="00D161C8">
        <w:t>thuật toán hội tụ nhanh hơn.</w:t>
      </w:r>
    </w:p>
    <w:p w14:paraId="6C02BCEB" w14:textId="256FE04F" w:rsidR="00D161C8" w:rsidRDefault="00D161C8" w:rsidP="00B934CA">
      <w:pPr>
        <w:ind w:firstLine="540"/>
        <w:jc w:val="both"/>
        <w:rPr>
          <w:color w:val="000000"/>
          <w:shd w:val="clear" w:color="auto" w:fill="FFFFFF"/>
        </w:rPr>
      </w:pPr>
      <w:r w:rsidRPr="00C51767">
        <w:rPr>
          <w:color w:val="000000"/>
          <w:shd w:val="clear" w:color="auto" w:fill="FFFFFF"/>
        </w:rPr>
        <w:t>Ý tưởng cơ bản là </w:t>
      </w:r>
      <w:r w:rsidRPr="00C51767">
        <w:rPr>
          <w:rStyle w:val="Emphasis"/>
          <w:i w:val="0"/>
          <w:color w:val="000000"/>
          <w:shd w:val="clear" w:color="auto" w:fill="FFFFFF"/>
        </w:rPr>
        <w:t>dự đoán hướng đi trong tương lai</w:t>
      </w:r>
      <w:r w:rsidRPr="00C51767">
        <w:rPr>
          <w:color w:val="000000"/>
          <w:shd w:val="clear" w:color="auto" w:fill="FFFFFF"/>
        </w:rPr>
        <w:t>, tức nhìn trước một bước</w:t>
      </w:r>
      <w:r w:rsidR="00C51767">
        <w:rPr>
          <w:color w:val="000000"/>
          <w:shd w:val="clear" w:color="auto" w:fill="FFFFFF"/>
        </w:rPr>
        <w:t>.</w:t>
      </w:r>
      <w:r w:rsidRPr="00C51767">
        <w:rPr>
          <w:color w:val="000000"/>
          <w:shd w:val="clear" w:color="auto" w:fill="FFFFFF"/>
        </w:rPr>
        <w:t xml:space="preserve"> </w:t>
      </w:r>
      <w:r w:rsidR="00F7115C" w:rsidRPr="00F7115C">
        <w:t>Cách thức này có 1 ít khác biệt so với momentum update, với momentum update ta tính toán đạo hàm tại vị trí hiện hành rồi sau đó làm 1 cú nhảy tớ</w:t>
      </w:r>
      <w:r w:rsidR="00F7115C">
        <w:t>i</w:t>
      </w:r>
      <w:r w:rsidR="00F7115C" w:rsidRPr="00F7115C">
        <w:t xml:space="preserve"> dựa trên vector momentum trước đó, với Nesterov momentum thay vì tính toán đạo hàm tại điểm hiện hành, chúng ta dựa vào vector momentum cũ để tính toán vị trí sắp tới, rồi sau đó mới dùng đạo hàm tại vị trí mới để correct lại</w:t>
      </w:r>
      <w:r w:rsidRPr="00F7115C">
        <w:t>.</w:t>
      </w:r>
      <w:r w:rsidRPr="00C51767">
        <w:rPr>
          <w:color w:val="000000"/>
          <w:shd w:val="clear" w:color="auto" w:fill="FFFFFF"/>
        </w:rPr>
        <w:t xml:space="preserve"> Theo dõi hình dưới đây:</w:t>
      </w:r>
    </w:p>
    <w:p w14:paraId="7FBFFBF4" w14:textId="6BC38DC0" w:rsidR="00C51767" w:rsidRDefault="00C51767" w:rsidP="00C51767">
      <w:pPr>
        <w:jc w:val="center"/>
      </w:pPr>
      <w:r>
        <w:fldChar w:fldCharType="begin"/>
      </w:r>
      <w:r>
        <w:instrText xml:space="preserve"> INCLUDEPICTURE "https://machinelearningcoban.com/assets/GD/nesterov.jpeg" \* MERGEFORMATINET </w:instrText>
      </w:r>
      <w:r>
        <w:fldChar w:fldCharType="end"/>
      </w:r>
      <w:r w:rsidRPr="00C51767">
        <w:t xml:space="preserve"> </w:t>
      </w:r>
      <w:r w:rsidR="007E4661">
        <w:object w:dxaOrig="14895" w:dyaOrig="5175" w14:anchorId="0B71B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52.25pt" o:ole="">
            <v:imagedata r:id="rId5" o:title=""/>
          </v:shape>
          <o:OLEObject Type="Embed" ProgID="Visio.Drawing.15" ShapeID="_x0000_i1025" DrawAspect="Content" ObjectID="_1619734772" r:id="rId6"/>
        </w:object>
      </w:r>
    </w:p>
    <w:p w14:paraId="38720C70" w14:textId="20A5E217" w:rsidR="00C51767" w:rsidRPr="00C51767" w:rsidRDefault="00C51767" w:rsidP="00C51767">
      <w:pPr>
        <w:jc w:val="center"/>
        <w:rPr>
          <w:color w:val="555555"/>
          <w:shd w:val="clear" w:color="auto" w:fill="FFFFFF"/>
        </w:rPr>
      </w:pPr>
      <w:r w:rsidRPr="00C51767">
        <w:rPr>
          <w:color w:val="555555"/>
          <w:shd w:val="clear" w:color="auto" w:fill="FFFFFF"/>
        </w:rPr>
        <w:t>Ý tưởng của Nesterov accelerated gradient. (Nguồn: </w:t>
      </w:r>
      <w:hyperlink r:id="rId7" w:history="1">
        <w:r w:rsidRPr="00C51767">
          <w:rPr>
            <w:rStyle w:val="Hyperlink"/>
            <w:color w:val="337AB7"/>
            <w:shd w:val="clear" w:color="auto" w:fill="FFFFFF"/>
          </w:rPr>
          <w:t>CS231n Stanford: Convolutional Neural Networks for Visual Recognition</w:t>
        </w:r>
      </w:hyperlink>
      <w:r w:rsidRPr="00C51767">
        <w:rPr>
          <w:color w:val="555555"/>
          <w:shd w:val="clear" w:color="auto" w:fill="FFFFFF"/>
        </w:rPr>
        <w:t>)</w:t>
      </w:r>
    </w:p>
    <w:p w14:paraId="2D0F943D" w14:textId="29BA50F7" w:rsidR="00C51767" w:rsidRPr="00C51767" w:rsidRDefault="00C51767" w:rsidP="00C51767">
      <w:pPr>
        <w:pStyle w:val="ListParagraph"/>
        <w:numPr>
          <w:ilvl w:val="0"/>
          <w:numId w:val="2"/>
        </w:numPr>
        <w:jc w:val="both"/>
      </w:pPr>
      <w:r w:rsidRPr="00C51767">
        <w:t>Với momentum thông thường: lượng thay đổi là tổng của hai vector:</w:t>
      </w:r>
      <w:r>
        <w:t xml:space="preserve"> </w:t>
      </w:r>
      <w:r w:rsidRPr="00C51767">
        <w:t>momentum vector và gradient ở thời điểm hiện tại.</w:t>
      </w:r>
    </w:p>
    <w:p w14:paraId="49B6C033" w14:textId="77777777" w:rsidR="00C51767" w:rsidRPr="00C51767" w:rsidRDefault="00C51767" w:rsidP="00C51767">
      <w:pPr>
        <w:pStyle w:val="ListParagraph"/>
        <w:numPr>
          <w:ilvl w:val="0"/>
          <w:numId w:val="2"/>
        </w:numPr>
        <w:jc w:val="both"/>
      </w:pPr>
      <w:r w:rsidRPr="00C51767">
        <w:t>Với Nesterove momentum: lượng thay đổi là tổng của hai vector: momentum vector và gradient ở thời điểm được xấp xỉ là điểm tiếp theo.</w:t>
      </w:r>
    </w:p>
    <w:p w14:paraId="16DF5B68" w14:textId="77627228" w:rsidR="00C51767" w:rsidRPr="00C51767" w:rsidRDefault="00C51767" w:rsidP="00C51767">
      <w:pPr>
        <w:ind w:firstLine="540"/>
        <w:jc w:val="both"/>
      </w:pPr>
      <w:r w:rsidRPr="00C51767">
        <w:t>Công thức cập nhật của NAG được cho như sau:</w:t>
      </w:r>
    </w:p>
    <w:p w14:paraId="7615BE81" w14:textId="2A7EB3DB" w:rsidR="001A7EB4" w:rsidRPr="001A7EB4" w:rsidRDefault="00700E86" w:rsidP="001A7EB4">
      <w:pPr>
        <w:jc w:val="both"/>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+η</m:t>
          </m:r>
          <m:sSub>
            <m:sSubPr>
              <m:ctrlPr>
                <w:rPr>
                  <w:rFonts w:ascii="Cambria Math" w:hAnsi="Cambria Math"/>
                  <w:i/>
                </w:rPr>
              </m:ctrlPr>
            </m:sSubPr>
            <m:e>
              <m:r>
                <m:rPr>
                  <m:sty m:val="p"/>
                </m:rPr>
                <w:rPr>
                  <w:rFonts w:ascii="Cambria Math" w:hAnsi="Cambria Math"/>
                </w:rPr>
                <m:t>Δ</m:t>
              </m:r>
            </m:e>
            <m:sub>
              <m:r>
                <m:rPr>
                  <m:sty m:val="p"/>
                </m:rPr>
                <w:rPr>
                  <w:rFonts w:ascii="Cambria Math" w:hAnsi="Cambria Math"/>
                </w:rPr>
                <m:t>Θ</m:t>
              </m:r>
            </m:sub>
          </m:sSub>
          <m:r>
            <w:rPr>
              <w:rFonts w:ascii="Cambria Math" w:hAnsi="Cambria Math"/>
            </w:rPr>
            <m:t>(</m:t>
          </m:r>
          <m:r>
            <m:rPr>
              <m:sty m:val="p"/>
            </m:rPr>
            <w:rPr>
              <w:rFonts w:ascii="Cambria Math" w:hAnsi="Cambria Math"/>
            </w:rPr>
            <m:t>Θ</m:t>
          </m:r>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oMath>
      </m:oMathPara>
    </w:p>
    <w:p w14:paraId="5170F696" w14:textId="364762C0" w:rsidR="001A7EB4" w:rsidRPr="001A7EB4" w:rsidRDefault="00700E86" w:rsidP="001A7EB4">
      <w:pPr>
        <w:jc w:val="both"/>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19AD28A" w14:textId="3A98819F" w:rsidR="001A7EB4" w:rsidRPr="005B1428" w:rsidRDefault="001A7EB4" w:rsidP="001A7EB4">
      <w:pPr>
        <w:spacing w:before="120" w:after="120"/>
        <w:ind w:left="187"/>
        <w:jc w:val="both"/>
        <w:rPr>
          <w:b/>
          <w:i/>
        </w:rPr>
      </w:pPr>
      <w:r w:rsidRPr="005B1428">
        <w:rPr>
          <w:b/>
          <w:i/>
        </w:rPr>
        <w:t>Adagrad</w:t>
      </w:r>
    </w:p>
    <w:p w14:paraId="6EF73E94" w14:textId="56448339" w:rsidR="001A7EB4" w:rsidRPr="001A7EB4" w:rsidRDefault="001A7EB4" w:rsidP="00B934CA">
      <w:pPr>
        <w:ind w:firstLine="540"/>
        <w:jc w:val="both"/>
        <w:rPr>
          <w:i/>
          <w:iCs/>
        </w:rPr>
      </w:pPr>
      <w:r w:rsidRPr="001A7EB4">
        <w:t xml:space="preserve">Adagrad </w:t>
      </w:r>
      <w:r w:rsidR="00F72BCE">
        <w:t>(</w:t>
      </w:r>
      <w:r w:rsidRPr="001A7EB4">
        <w:t>Duchi</w:t>
      </w:r>
      <w:r w:rsidR="00F72BCE">
        <w:t>,</w:t>
      </w:r>
      <w:r w:rsidRPr="001A7EB4">
        <w:t xml:space="preserve"> 2011</w:t>
      </w:r>
      <w:r w:rsidR="00F72BCE">
        <w:t>)</w:t>
      </w:r>
      <w:r w:rsidRPr="001A7EB4">
        <w:t xml:space="preserve"> cho phép tinh chỉnh các gradients khác nhau bằng</w:t>
      </w:r>
      <w:r w:rsidRPr="001A7EB4">
        <w:br/>
        <w:t xml:space="preserve">việc có learning rate riêng biệt </w:t>
      </w:r>
      <w:r w:rsidRPr="001A7EB4">
        <w:rPr>
          <w:i/>
          <w:iCs/>
        </w:rPr>
        <w:t>η</w:t>
      </w:r>
      <w:r w:rsidRPr="001A7EB4">
        <w:t xml:space="preserve">. Cho mỗi giá trị của </w:t>
      </w:r>
      <w:r w:rsidRPr="001A7EB4">
        <w:rPr>
          <w:i/>
          <w:iCs/>
        </w:rPr>
        <w:t>f, f</w:t>
      </w:r>
      <w:r w:rsidR="001B52F4">
        <w:rPr>
          <w:i/>
          <w:iCs/>
        </w:rPr>
        <w:t>’</w:t>
      </w:r>
      <w:r w:rsidRPr="001A7EB4">
        <w:rPr>
          <w:i/>
          <w:iCs/>
        </w:rPr>
        <w:t>, i</w:t>
      </w:r>
    </w:p>
    <w:p w14:paraId="348808D6" w14:textId="68809F71" w:rsidR="00F7115C" w:rsidRPr="00F7115C" w:rsidRDefault="00F7115C" w:rsidP="00F7115C">
      <w:pPr>
        <w:ind w:firstLine="540"/>
        <w:jc w:val="both"/>
      </w:pPr>
      <w:r w:rsidRPr="00F7115C">
        <w:lastRenderedPageBreak/>
        <w:t>Không giống như các cách thức trước, learning rate hầu như giống nhau cho quá trình learning, adagrad coi learning rate cũng là một tham số</w:t>
      </w:r>
      <w:r>
        <w:t xml:space="preserve">. </w:t>
      </w:r>
      <w:r w:rsidRPr="00F7115C">
        <w:t>Nó tạo các update lớn với các dữ liệu khác biệt nhiều và các update nhỏ cho các dữ liệu ít khác biệt</w:t>
      </w:r>
      <w:r>
        <w:t>.</w:t>
      </w:r>
    </w:p>
    <w:p w14:paraId="1BBACBAE" w14:textId="7B29503A" w:rsidR="001A7EB4" w:rsidRPr="001A7EB4" w:rsidRDefault="00F7115C" w:rsidP="00F7115C">
      <w:pPr>
        <w:ind w:firstLine="540"/>
        <w:jc w:val="both"/>
        <w:rPr>
          <w:iCs/>
        </w:rPr>
      </w:pPr>
      <w:r w:rsidRPr="00F7115C">
        <w:t>Adagrad chia learning rate với tổng bình phương của lịch sử biến thiên (đạo hàm)</w:t>
      </w:r>
      <w:r>
        <w:t xml:space="preserve">. </w:t>
      </w:r>
      <w:r w:rsidR="001A7EB4" w:rsidRPr="001A7EB4">
        <w:rPr>
          <w:iCs/>
        </w:rPr>
        <w:t>Quy luật cập nhật như sau:</w:t>
      </w:r>
    </w:p>
    <w:p w14:paraId="37761C79" w14:textId="2A520BE6" w:rsidR="001A7EB4" w:rsidRPr="001A7EB4" w:rsidRDefault="00700E86" w:rsidP="001A7EB4">
      <w:pPr>
        <w:jc w:val="both"/>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+ϵ</m:t>
                  </m:r>
                </m:e>
              </m:rad>
            </m:den>
          </m:f>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oMath>
      </m:oMathPara>
    </w:p>
    <w:p w14:paraId="7352BC34" w14:textId="77777777" w:rsidR="00F7115C" w:rsidRDefault="00F7115C" w:rsidP="00F7115C">
      <w:r w:rsidRPr="00F7115C">
        <w:t>Trong đó</w:t>
      </w:r>
      <w:r>
        <w:t>:</w:t>
      </w:r>
    </w:p>
    <w:p w14:paraId="715BAFE4" w14:textId="480B1BAA" w:rsidR="00F7115C" w:rsidRPr="00F7115C" w:rsidRDefault="00F7115C" w:rsidP="00F7115C">
      <w:pPr>
        <w:ind w:left="1170"/>
      </w:pPr>
      <w:r w:rsidRPr="00F7115C">
        <w:t>ϵ là hệ số để tránh lỗi chia cho 0, default là 1e−8</w:t>
      </w:r>
    </w:p>
    <w:p w14:paraId="6577A454" w14:textId="35381CF2" w:rsidR="00F7115C" w:rsidRDefault="00700E86" w:rsidP="00F7115C">
      <w:pPr>
        <w:ind w:left="1170"/>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F7115C" w:rsidRPr="00F7115C">
        <w:t xml:space="preserve"> là một </w:t>
      </w:r>
      <w:r w:rsidR="00F7115C">
        <w:t>ma trận chéo</w:t>
      </w:r>
      <w:r w:rsidR="00F7115C" w:rsidRPr="00F7115C">
        <w:t xml:space="preserve"> nơi mà mỗi phần tử (i,</w:t>
      </w:r>
      <w:r w:rsidR="00F1626A">
        <w:t xml:space="preserve"> </w:t>
      </w:r>
      <w:r w:rsidR="00F7115C" w:rsidRPr="00F7115C">
        <w:t>i) là bình phương của đạo hàm vector tham số tại thời điểm t</w:t>
      </w:r>
    </w:p>
    <w:p w14:paraId="0B37A95A" w14:textId="5AE8EF7B" w:rsidR="00F7115C" w:rsidRPr="00F1626A" w:rsidRDefault="00700E86" w:rsidP="00F1626A">
      <w:pPr>
        <w:jc w:val="both"/>
        <w:rPr>
          <w:i/>
          <w:iCs/>
        </w:rPr>
      </w:pPr>
      <m:oMathPara>
        <m:oMath>
          <m:sSub>
            <m:sSubPr>
              <m:ctrlPr>
                <w:rPr>
                  <w:rFonts w:ascii="Cambria Math" w:hAnsi="Cambria Math"/>
                  <w:i/>
                  <w:iCs/>
                </w:rPr>
              </m:ctrlPr>
            </m:sSubPr>
            <m:e>
              <m:r>
                <w:rPr>
                  <w:rFonts w:ascii="Cambria Math" w:hAnsi="Cambria Math"/>
                </w:rPr>
                <m:t>v</m:t>
              </m:r>
            </m:e>
            <m:sub>
              <m:r>
                <w:rPr>
                  <w:rFonts w:ascii="Cambria Math" w:hAnsi="Cambria Math"/>
                </w:rPr>
                <m:t>t</m:t>
              </m:r>
            </m:sub>
          </m:sSub>
          <m:r>
            <w:rPr>
              <w:rFonts w:ascii="Cambria Math" w:hAnsi="Cambria Math"/>
            </w:rPr>
            <m:t>=</m:t>
          </m:r>
          <m:nary>
            <m:naryPr>
              <m:chr m:val="∑"/>
              <m:limLoc m:val="undOvr"/>
              <m:ctrlPr>
                <w:rPr>
                  <w:rFonts w:ascii="Cambria Math" w:hAnsi="Cambria Math"/>
                  <w:i/>
                  <w:iCs/>
                </w:rPr>
              </m:ctrlPr>
            </m:naryPr>
            <m:sub>
              <m:sSup>
                <m:sSupPr>
                  <m:ctrlPr>
                    <w:rPr>
                      <w:rFonts w:ascii="Cambria Math" w:hAnsi="Cambria Math"/>
                      <w:i/>
                      <w:iCs/>
                    </w:rPr>
                  </m:ctrlPr>
                </m:sSupPr>
                <m:e>
                  <m:r>
                    <w:rPr>
                      <w:rFonts w:ascii="Cambria Math" w:hAnsi="Cambria Math"/>
                    </w:rPr>
                    <m:t>t</m:t>
                  </m:r>
                </m:e>
                <m:sup>
                  <m:r>
                    <w:rPr>
                      <w:rFonts w:ascii="Cambria Math" w:hAnsi="Cambria Math"/>
                    </w:rPr>
                    <m:t>'</m:t>
                  </m:r>
                </m:sup>
              </m:sSup>
              <m:r>
                <w:rPr>
                  <w:rFonts w:ascii="Cambria Math" w:hAnsi="Cambria Math"/>
                </w:rPr>
                <m:t>=0</m:t>
              </m:r>
            </m:sub>
            <m:sup>
              <m:r>
                <w:rPr>
                  <w:rFonts w:ascii="Cambria Math" w:hAnsi="Cambria Math"/>
                </w:rPr>
                <m:t>t-1</m:t>
              </m:r>
            </m:sup>
            <m:e>
              <m:sSup>
                <m:sSupPr>
                  <m:ctrlPr>
                    <w:rPr>
                      <w:rFonts w:ascii="Cambria Math" w:hAnsi="Cambria Math"/>
                      <w:i/>
                      <w:iCs/>
                    </w:rPr>
                  </m:ctrlPr>
                </m:sSupPr>
                <m:e>
                  <m:r>
                    <w:rPr>
                      <w:rFonts w:ascii="Cambria Math" w:hAnsi="Cambria Math"/>
                    </w:rPr>
                    <m:t>(</m:t>
                  </m:r>
                  <m:sSubSup>
                    <m:sSubSupPr>
                      <m:ctrlPr>
                        <w:rPr>
                          <w:rFonts w:ascii="Cambria Math" w:hAnsi="Cambria Math"/>
                          <w:i/>
                          <w:iCs/>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r>
                    <w:rPr>
                      <w:rFonts w:ascii="Cambria Math" w:hAnsi="Cambria Math"/>
                    </w:rPr>
                    <m:t>)</m:t>
                  </m:r>
                </m:e>
                <m:sup>
                  <m:r>
                    <w:rPr>
                      <w:rFonts w:ascii="Cambria Math" w:hAnsi="Cambria Math"/>
                    </w:rPr>
                    <m:t>2</m:t>
                  </m:r>
                </m:sup>
              </m:sSup>
            </m:e>
          </m:nary>
        </m:oMath>
      </m:oMathPara>
    </w:p>
    <w:p w14:paraId="2E8CEC03" w14:textId="6717BF11" w:rsidR="001A7EB4" w:rsidRDefault="00F1626A" w:rsidP="00F1626A">
      <w:pPr>
        <w:ind w:firstLine="540"/>
        <w:jc w:val="both"/>
      </w:pPr>
      <w:r w:rsidRPr="00F1626A">
        <w:t>Một lợi ích dễ thấy của Adagrad là tránh việc điều chỉnh learning rate bằng tay, thường sẽ để default là 0.01 và thuật toán sau đó sẽ tự động điều chỉnh.</w:t>
      </w:r>
    </w:p>
    <w:p w14:paraId="1509EB09" w14:textId="1127A81C" w:rsidR="00F1626A" w:rsidRPr="00F1626A" w:rsidRDefault="00F1626A" w:rsidP="00F1626A">
      <w:pPr>
        <w:ind w:firstLine="540"/>
        <w:jc w:val="both"/>
      </w:pPr>
      <w:r w:rsidRPr="00F1626A">
        <w:t>Còn điểm yếu của Adagrad là tổng bình phương biến thiên sẽ lớn dần theo thời gian cho đến khi nó làm learning rate cực k</w:t>
      </w:r>
      <w:r w:rsidR="005956A6">
        <w:t>ỳ</w:t>
      </w:r>
      <w:r w:rsidRPr="00F1626A">
        <w:t xml:space="preserve"> nhỏ, làm việc tra</w:t>
      </w:r>
      <w:r w:rsidR="005956A6">
        <w:t>i</w:t>
      </w:r>
      <w:r w:rsidRPr="00F1626A">
        <w:t>ning trở nên đóng băng.</w:t>
      </w:r>
    </w:p>
    <w:p w14:paraId="6A369E61" w14:textId="5A331D15" w:rsidR="001A7EB4" w:rsidRPr="005B1428" w:rsidRDefault="001A7EB4" w:rsidP="001A7EB4">
      <w:pPr>
        <w:spacing w:before="120" w:after="120"/>
        <w:ind w:left="187"/>
        <w:jc w:val="both"/>
        <w:rPr>
          <w:b/>
          <w:i/>
        </w:rPr>
      </w:pPr>
      <w:r w:rsidRPr="005B1428">
        <w:rPr>
          <w:b/>
          <w:i/>
        </w:rPr>
        <w:t>RMSprop</w:t>
      </w:r>
    </w:p>
    <w:p w14:paraId="2C329C2E" w14:textId="0208A347" w:rsidR="00F72BCE" w:rsidRDefault="001A7EB4" w:rsidP="001B52F4">
      <w:pPr>
        <w:ind w:firstLine="540"/>
        <w:jc w:val="both"/>
      </w:pPr>
      <w:r w:rsidRPr="001A7EB4">
        <w:t xml:space="preserve">RMSprop </w:t>
      </w:r>
      <w:r w:rsidR="00F72BCE">
        <w:t xml:space="preserve">(Hinton, 2012) </w:t>
      </w:r>
      <w:r w:rsidRPr="001A7EB4">
        <w:t>là một kỹ thuật điều chỉnh learning rate có tính thích nghi, nó chưa từng</w:t>
      </w:r>
      <w:r w:rsidR="001B52F4">
        <w:t xml:space="preserve"> </w:t>
      </w:r>
      <w:r w:rsidRPr="001A7EB4">
        <w:t>được công bố, và được đề xuất bởi Geoff Hinton trong bài giảng trên Coursera.</w:t>
      </w:r>
    </w:p>
    <w:p w14:paraId="25B52436" w14:textId="2C9E5858" w:rsidR="001A7EB4" w:rsidRPr="001A7EB4" w:rsidRDefault="001A7EB4" w:rsidP="001B52F4">
      <w:pPr>
        <w:ind w:firstLine="540"/>
        <w:jc w:val="both"/>
      </w:pPr>
      <w:r w:rsidRPr="001A7EB4">
        <w:t>Vì Adagrad thêm vào gradient từ epoch đầu tiên, các trọng số bị buộc phải giảm</w:t>
      </w:r>
      <w:r w:rsidRPr="001A7EB4">
        <w:br/>
        <w:t>đơn điệu. Điều này có thể được giải quyết thông qua kỹ thuật Adadelta:</w:t>
      </w:r>
      <w:r w:rsidRPr="001A7EB4">
        <w:br/>
      </w: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+(1-γ)</m:t>
          </m:r>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r>
            <m:rPr>
              <m:sty m:val="p"/>
            </m:rPr>
            <w:br/>
          </m:r>
        </m:oMath>
      </m:oMathPara>
      <w:r w:rsidRPr="001A7EB4">
        <w:t xml:space="preserve">với </w:t>
      </w:r>
      <w:r w:rsidRPr="001A7EB4">
        <w:rPr>
          <w:i/>
          <w:iCs/>
        </w:rPr>
        <w:t xml:space="preserve">γ </w:t>
      </w:r>
      <w:r w:rsidRPr="001A7EB4">
        <w:t>là một tham số mới, thường là 0</w:t>
      </w:r>
      <w:r w:rsidRPr="001A7EB4">
        <w:rPr>
          <w:i/>
          <w:iCs/>
        </w:rPr>
        <w:t>.</w:t>
      </w:r>
      <w:r w:rsidRPr="001A7EB4">
        <w:t>9. Công thức Adadelta theo Adagrad như</w:t>
      </w:r>
      <w:r w:rsidRPr="001A7EB4">
        <w:br/>
        <w:t>sau</w:t>
      </w:r>
      <w:r w:rsidRPr="001A7EB4">
        <w:br/>
      </w:r>
      <m:oMathPara>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+ϵ</m:t>
                  </m:r>
                </m:e>
              </m:rad>
            </m:den>
          </m:f>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r>
            <m:rPr>
              <m:sty m:val="p"/>
            </m:rPr>
            <w:br/>
          </m:r>
        </m:oMath>
      </m:oMathPara>
      <w:r w:rsidRPr="001A7EB4">
        <w:rPr>
          <w:i/>
          <w:iCs/>
        </w:rPr>
        <w:t xml:space="preserve">η </w:t>
      </w:r>
      <w:r w:rsidRPr="001A7EB4">
        <w:t>được thiết lập một lần và cho tất cả (thường là 10</w:t>
      </w:r>
      <w:r w:rsidRPr="00F1626A">
        <w:rPr>
          <w:i/>
          <w:iCs/>
          <w:vertAlign w:val="superscript"/>
        </w:rPr>
        <w:t>−</w:t>
      </w:r>
      <w:r w:rsidRPr="00F1626A">
        <w:rPr>
          <w:vertAlign w:val="superscript"/>
        </w:rPr>
        <w:t>3</w:t>
      </w:r>
      <w:r w:rsidRPr="001A7EB4">
        <w:t>).</w:t>
      </w:r>
    </w:p>
    <w:p w14:paraId="1E1C7917" w14:textId="3E72F992" w:rsidR="001A7EB4" w:rsidRPr="005B1428" w:rsidRDefault="001A7EB4" w:rsidP="001A7EB4">
      <w:pPr>
        <w:spacing w:before="120" w:after="120"/>
        <w:ind w:left="187"/>
        <w:jc w:val="both"/>
        <w:rPr>
          <w:b/>
          <w:i/>
        </w:rPr>
      </w:pPr>
      <w:r w:rsidRPr="005B1428">
        <w:rPr>
          <w:b/>
          <w:i/>
        </w:rPr>
        <w:t>Adadelta</w:t>
      </w:r>
    </w:p>
    <w:p w14:paraId="48993A07" w14:textId="454A5715" w:rsidR="00F1626A" w:rsidRPr="00F1626A" w:rsidRDefault="001A7EB4" w:rsidP="00F1626A">
      <w:pPr>
        <w:ind w:firstLine="540"/>
        <w:jc w:val="both"/>
      </w:pPr>
      <w:r w:rsidRPr="001A7EB4">
        <w:lastRenderedPageBreak/>
        <w:t xml:space="preserve">Adadelta </w:t>
      </w:r>
      <w:r w:rsidR="00F72BCE">
        <w:t>(</w:t>
      </w:r>
      <w:r w:rsidRPr="001A7EB4">
        <w:t>Zeiler</w:t>
      </w:r>
      <w:r w:rsidR="00F72BCE">
        <w:t>,</w:t>
      </w:r>
      <w:r w:rsidRPr="001A7EB4">
        <w:t xml:space="preserve"> 2012</w:t>
      </w:r>
      <w:r w:rsidR="00F72BCE">
        <w:t>)</w:t>
      </w:r>
      <w:r w:rsidRPr="001A7EB4">
        <w:t xml:space="preserve"> là một phần mở rộng của RMSprop, </w:t>
      </w:r>
      <w:r w:rsidR="00F1626A" w:rsidRPr="00F1626A">
        <w:t>Adadelta sinh ra để làm giảm nhược điểm của Adagrad (việc làm thay đổi learning rate theo tính đơn điệu giảm)</w:t>
      </w:r>
      <w:r w:rsidR="00F1626A">
        <w:t xml:space="preserve">. </w:t>
      </w:r>
      <w:r w:rsidR="00F1626A" w:rsidRPr="00F1626A">
        <w:t>Nó giới hạn sự tích lũy của độ biến thiên tới một</w:t>
      </w:r>
      <w:r w:rsidR="00F72BCE">
        <w:t xml:space="preserve"> </w:t>
      </w:r>
      <w:r w:rsidR="00F1626A" w:rsidRPr="00F1626A">
        <w:t>giới hạn nhất định</w:t>
      </w:r>
      <w:r w:rsidR="00F1626A">
        <w:t>.</w:t>
      </w:r>
    </w:p>
    <w:p w14:paraId="4124BE23" w14:textId="10133AC2" w:rsidR="00F1626A" w:rsidRDefault="00F1626A" w:rsidP="00F1626A">
      <w:pPr>
        <w:ind w:firstLine="540"/>
        <w:jc w:val="both"/>
      </w:pPr>
      <w:r w:rsidRPr="00F1626A">
        <w:t xml:space="preserve">Để làm được điều trên nó đưa ra khái niệm </w:t>
      </w:r>
      <w:r w:rsidRPr="00F1626A">
        <w:rPr>
          <w:i/>
        </w:rPr>
        <w:t>running average</w:t>
      </w:r>
      <w:r w:rsidRPr="00F1626A">
        <w:t xml:space="preserve"> phụ thuộc vào trung bình trước và độ dốc hiện tại.</w:t>
      </w:r>
    </w:p>
    <w:p w14:paraId="317E338E" w14:textId="47D9F19C" w:rsidR="00664006" w:rsidRDefault="00700E86" w:rsidP="00664006">
      <w:pPr>
        <w:jc w:val="both"/>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+(1-γ)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+ϵ</m:t>
                          </m:r>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+ϵ</m:t>
                      </m:r>
                    </m:den>
                  </m:f>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e>
              </m:d>
            </m:e>
            <m:sup>
              <m:r>
                <w:rPr>
                  <w:rFonts w:ascii="Cambria Math" w:hAnsi="Cambria Math"/>
                </w:rPr>
                <m:t>2</m:t>
              </m:r>
            </m:sup>
          </m:sSup>
          <m:r>
            <m:rPr>
              <m:sty m:val="p"/>
            </m:rPr>
            <w:br/>
          </m:r>
        </m:oMath>
      </m:oMathPara>
      <w:r w:rsidR="001A7EB4" w:rsidRPr="001A7EB4">
        <w:t>và quy luật cập nhật mới như sau</w:t>
      </w:r>
      <w:r w:rsidR="00664006">
        <w:t>:</w:t>
      </w:r>
    </w:p>
    <w:p w14:paraId="4BB1F6B2" w14:textId="253A79B7" w:rsidR="00664006" w:rsidRDefault="00700E86" w:rsidP="00664006">
      <w:pPr>
        <w:ind w:firstLine="540"/>
        <w:jc w:val="both"/>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+ϵ</m:t>
                  </m:r>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+ϵ</m:t>
              </m:r>
            </m:den>
          </m:f>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oMath>
      </m:oMathPara>
    </w:p>
    <w:p w14:paraId="07D817B5" w14:textId="09BFFCD7" w:rsidR="001A7EB4" w:rsidRPr="005B1428" w:rsidRDefault="001A7EB4" w:rsidP="001A7EB4">
      <w:pPr>
        <w:spacing w:before="120" w:after="120"/>
        <w:ind w:left="187"/>
        <w:jc w:val="both"/>
        <w:rPr>
          <w:b/>
        </w:rPr>
      </w:pPr>
      <w:r w:rsidRPr="005B1428">
        <w:rPr>
          <w:b/>
          <w:i/>
        </w:rPr>
        <w:t>Adam</w:t>
      </w:r>
    </w:p>
    <w:p w14:paraId="1F43A374" w14:textId="123598B5" w:rsidR="00664006" w:rsidRDefault="001A7EB4" w:rsidP="00664006">
      <w:pPr>
        <w:spacing w:before="120" w:after="120"/>
        <w:ind w:firstLine="540"/>
        <w:jc w:val="both"/>
      </w:pPr>
      <w:r w:rsidRPr="001A7EB4">
        <w:t xml:space="preserve">Adam </w:t>
      </w:r>
      <w:r w:rsidR="00F72BCE">
        <w:t>(</w:t>
      </w:r>
      <w:r w:rsidRPr="001A7EB4">
        <w:t>Kingma &amp; Ba</w:t>
      </w:r>
      <w:r w:rsidR="00F72BCE">
        <w:t>,</w:t>
      </w:r>
      <w:r w:rsidRPr="001A7EB4">
        <w:t xml:space="preserve"> 2014</w:t>
      </w:r>
      <w:r w:rsidR="00F72BCE">
        <w:t>)</w:t>
      </w:r>
      <w:r w:rsidRPr="00EF6BB7">
        <w:t xml:space="preserve"> </w:t>
      </w:r>
      <w:r w:rsidR="00EF6BB7">
        <w:t xml:space="preserve">thường </w:t>
      </w:r>
      <w:r w:rsidR="00EF6BB7" w:rsidRPr="00EF6BB7">
        <w:t>là sự lựa chọn mặc định đối với</w:t>
      </w:r>
      <w:r w:rsidR="00EF6BB7">
        <w:t xml:space="preserve"> </w:t>
      </w:r>
      <w:r w:rsidR="00EF6BB7" w:rsidRPr="00EF6BB7">
        <w:t>một số thuật toán deep learning.</w:t>
      </w:r>
      <w:r w:rsidR="00EF6BB7">
        <w:t xml:space="preserve"> G</w:t>
      </w:r>
      <w:r w:rsidR="00F72BCE" w:rsidRPr="00F72BCE">
        <w:t>iống với Adadelta và RMSprop, nó duy trì trung bình bình phương độ dốc (slope) quá khứ v</w:t>
      </w:r>
      <w:r w:rsidR="00F72BCE" w:rsidRPr="00F72BCE">
        <w:rPr>
          <w:vertAlign w:val="subscript"/>
        </w:rPr>
        <w:t>t</w:t>
      </w:r>
      <w:r w:rsidR="00F72BCE" w:rsidRPr="00F72BCE">
        <w:t xml:space="preserve"> và cũng đồng thời duy trì trung bình độ dốc quá khứ m</w:t>
      </w:r>
      <w:r w:rsidR="00F72BCE" w:rsidRPr="00F72BCE">
        <w:rPr>
          <w:vertAlign w:val="subscript"/>
        </w:rPr>
        <w:t>t</w:t>
      </w:r>
      <w:r w:rsidR="00F72BCE" w:rsidRPr="00F72BCE">
        <w:t>, giống momentum.</w:t>
      </w:r>
    </w:p>
    <w:p w14:paraId="4CEFD54D" w14:textId="25527156" w:rsidR="00664006" w:rsidRDefault="00700E86" w:rsidP="00664006">
      <w:pPr>
        <w:spacing w:before="120" w:after="120"/>
        <w:jc w:val="cente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oMath>
      <w:r w:rsidR="00664006">
        <w:rPr>
          <w:rFonts w:eastAsiaTheme="minorEastAsia"/>
        </w:rPr>
        <w:t>,</w:t>
      </w:r>
      <w:r w:rsidR="00664006">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Δ</m:t>
                    </m:r>
                  </m:e>
                  <m:sub>
                    <m:r>
                      <w:rPr>
                        <w:rFonts w:ascii="Cambria Math" w:hAnsi="Cambria Math"/>
                      </w:rPr>
                      <m:t>t</m:t>
                    </m:r>
                  </m:sub>
                  <m:sup>
                    <m:r>
                      <m:rPr>
                        <m:sty m:val="p"/>
                      </m:rPr>
                      <w:rPr>
                        <w:rFonts w:ascii="Cambria Math" w:hAnsi="Cambria Math"/>
                      </w:rPr>
                      <m:t>Θ</m:t>
                    </m:r>
                  </m:sup>
                </m:sSubSup>
              </m:e>
            </m:d>
          </m:e>
          <m:sup>
            <m:r>
              <w:rPr>
                <w:rFonts w:ascii="Cambria Math" w:hAnsi="Cambria Math"/>
              </w:rPr>
              <m:t>2</m:t>
            </m:r>
          </m:sup>
        </m:sSup>
      </m:oMath>
      <w:r w:rsidR="00664006">
        <w:rPr>
          <w:rFonts w:eastAsiaTheme="minorEastAsia"/>
        </w:rPr>
        <w:t>,</w:t>
      </w:r>
    </w:p>
    <w:p w14:paraId="7DBF594D" w14:textId="0EA93A92" w:rsidR="00664006" w:rsidRDefault="001A7EB4" w:rsidP="00664006">
      <w:pPr>
        <w:spacing w:before="120" w:after="120"/>
        <w:jc w:val="both"/>
      </w:pPr>
      <w:r w:rsidRPr="001A7EB4">
        <w:t xml:space="preserve">với </w:t>
      </w:r>
      <w:r w:rsidRPr="001A7EB4">
        <w:rPr>
          <w:i/>
          <w:iCs/>
        </w:rPr>
        <w:t>β</w:t>
      </w:r>
      <w:r w:rsidRPr="001A7EB4">
        <w:t xml:space="preserve">1 và </w:t>
      </w:r>
      <w:r w:rsidRPr="001A7EB4">
        <w:rPr>
          <w:i/>
          <w:iCs/>
        </w:rPr>
        <w:t>β</w:t>
      </w:r>
      <w:r w:rsidRPr="001A7EB4">
        <w:t>2 thường là 0</w:t>
      </w:r>
      <w:r w:rsidRPr="001A7EB4">
        <w:rPr>
          <w:i/>
          <w:iCs/>
        </w:rPr>
        <w:t>.</w:t>
      </w:r>
      <w:r w:rsidRPr="001A7EB4">
        <w:t>9 và 0</w:t>
      </w:r>
      <w:r w:rsidRPr="001A7EB4">
        <w:rPr>
          <w:i/>
          <w:iCs/>
        </w:rPr>
        <w:t>.</w:t>
      </w:r>
      <w:r w:rsidRPr="001A7EB4">
        <w:t>999. Nhưng sức mạnh và tính chắc chắn của</w:t>
      </w:r>
      <w:r w:rsidRPr="001A7EB4">
        <w:br/>
        <w:t xml:space="preserve">Adam nằm ở việc nó làm cho toàn bộ quá trình học tập phụ thuộc </w:t>
      </w:r>
      <w:r w:rsidR="00F72BCE">
        <w:t xml:space="preserve">vào </w:t>
      </w:r>
      <w:r w:rsidRPr="001A7EB4">
        <w:t>yếu tố</w:t>
      </w:r>
      <w:r w:rsidRPr="001A7EB4">
        <w:br/>
        <w:t>precise. Để tránh những vấn đề về số trong các bước đầu tiên, các vector này</w:t>
      </w:r>
      <w:r w:rsidRPr="001A7EB4">
        <w:br/>
        <w:t>được thay đổi tỷ lệ</w:t>
      </w:r>
      <w:r w:rsidR="00664006">
        <w:t>:</w:t>
      </w:r>
    </w:p>
    <w:p w14:paraId="7E31F8FD" w14:textId="3DF6B37A" w:rsidR="00664006" w:rsidRPr="00664006" w:rsidRDefault="00700E86" w:rsidP="0099695E">
      <w:pPr>
        <w:spacing w:before="120" w:after="120"/>
        <w:jc w:val="center"/>
        <w:rPr>
          <w:iCs/>
        </w:rPr>
      </w:pPr>
      <m:oMath>
        <m:sSub>
          <m:sSubPr>
            <m:ctrlPr>
              <w:rPr>
                <w:rFonts w:ascii="Cambria Math" w:hAnsi="Cambria Math"/>
                <w:i/>
                <w:iCs/>
              </w:rPr>
            </m:ctrlPr>
          </m:sSubPr>
          <m:e>
            <m:acc>
              <m:accPr>
                <m:ctrlPr>
                  <w:rPr>
                    <w:rFonts w:ascii="Cambria Math" w:hAnsi="Cambria Math"/>
                    <w:i/>
                    <w:iCs/>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iCs/>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w:r w:rsidR="0099695E">
        <w:rPr>
          <w:rFonts w:eastAsiaTheme="minorEastAsia"/>
          <w:iCs/>
        </w:rPr>
        <w:t>,</w:t>
      </w:r>
      <w:r w:rsidR="0099695E">
        <w:rPr>
          <w:rFonts w:eastAsiaTheme="minorEastAsia"/>
          <w:iCs/>
        </w:rPr>
        <w:tab/>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v</m:t>
                </m:r>
              </m:e>
            </m:acc>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1-</m:t>
            </m:r>
            <m:sSubSup>
              <m:sSubSupPr>
                <m:ctrlPr>
                  <w:rPr>
                    <w:rFonts w:ascii="Cambria Math" w:eastAsiaTheme="minorEastAsia" w:hAnsi="Cambria Math"/>
                    <w:i/>
                    <w:iCs/>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t</m:t>
                </m:r>
              </m:sup>
            </m:sSubSup>
          </m:den>
        </m:f>
      </m:oMath>
    </w:p>
    <w:p w14:paraId="3CCB788F" w14:textId="3A144DCB" w:rsidR="0099695E" w:rsidRDefault="001A7EB4" w:rsidP="00664006">
      <w:pPr>
        <w:spacing w:before="120" w:after="120"/>
        <w:jc w:val="both"/>
      </w:pPr>
      <w:r w:rsidRPr="001A7EB4">
        <w:t>trước khi vào các quy tắc cập nhật</w:t>
      </w:r>
      <w:r w:rsidR="0099695E">
        <w:t>:</w:t>
      </w:r>
    </w:p>
    <w:p w14:paraId="4F5368DB" w14:textId="7DC1BBA1" w:rsidR="0099695E" w:rsidRDefault="00700E86" w:rsidP="0099695E">
      <w:pPr>
        <w:spacing w:before="120" w:after="120"/>
        <w:ind w:firstLine="540"/>
        <w:jc w:val="both"/>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v</m:t>
                          </m:r>
                        </m:e>
                      </m:acc>
                    </m:e>
                    <m:sub>
                      <m:r>
                        <w:rPr>
                          <w:rFonts w:ascii="Cambria Math" w:eastAsiaTheme="minorEastAsia" w:hAnsi="Cambria Math"/>
                        </w:rPr>
                        <m:t>t</m:t>
                      </m:r>
                    </m:sub>
                  </m:sSub>
                  <m:r>
                    <w:rPr>
                      <w:rFonts w:ascii="Cambria Math" w:hAnsi="Cambria Math"/>
                    </w:rPr>
                    <m:t>+ϵ</m:t>
                  </m:r>
                </m:e>
              </m:rad>
            </m:den>
          </m:f>
          <m:sSub>
            <m:sSubPr>
              <m:ctrlPr>
                <w:rPr>
                  <w:rFonts w:ascii="Cambria Math" w:hAnsi="Cambria Math"/>
                  <w:i/>
                  <w:iCs/>
                </w:rPr>
              </m:ctrlPr>
            </m:sSubPr>
            <m:e>
              <m:acc>
                <m:accPr>
                  <m:ctrlPr>
                    <w:rPr>
                      <w:rFonts w:ascii="Cambria Math" w:hAnsi="Cambria Math"/>
                      <w:i/>
                      <w:iCs/>
                    </w:rPr>
                  </m:ctrlPr>
                </m:accPr>
                <m:e>
                  <m:r>
                    <w:rPr>
                      <w:rFonts w:ascii="Cambria Math" w:hAnsi="Cambria Math"/>
                    </w:rPr>
                    <m:t>m</m:t>
                  </m:r>
                </m:e>
              </m:acc>
            </m:e>
            <m:sub>
              <m:r>
                <w:rPr>
                  <w:rFonts w:ascii="Cambria Math" w:hAnsi="Cambria Math"/>
                </w:rPr>
                <m:t>t</m:t>
              </m:r>
            </m:sub>
          </m:sSub>
        </m:oMath>
      </m:oMathPara>
    </w:p>
    <w:p w14:paraId="6BC98FFC" w14:textId="37F941F5" w:rsidR="0099695E" w:rsidRDefault="001A7EB4" w:rsidP="0099695E">
      <w:pPr>
        <w:spacing w:before="120" w:after="120"/>
        <w:ind w:firstLine="540"/>
        <w:jc w:val="both"/>
      </w:pPr>
      <w:r w:rsidRPr="001A7EB4">
        <w:t>Đây là kỹ thuật tối ưu hoá được sử dụng trong bài báo cáo này, cùng với độ giảm</w:t>
      </w:r>
      <w:r w:rsidRPr="001A7EB4">
        <w:br/>
        <w:t>learning rate</w:t>
      </w:r>
      <w:r w:rsidR="0099695E">
        <w:t>:</w:t>
      </w:r>
    </w:p>
    <w:p w14:paraId="187BC3D4" w14:textId="2365AF9E" w:rsidR="0099695E" w:rsidRPr="0099695E" w:rsidRDefault="00700E86" w:rsidP="00664006">
      <w:pPr>
        <w:spacing w:before="120" w:after="120"/>
        <w:jc w:val="both"/>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sup>
          </m:sSup>
          <m:sSub>
            <m:sSubPr>
              <m:ctrlPr>
                <w:rPr>
                  <w:rFonts w:ascii="Cambria Math" w:hAnsi="Cambria Math"/>
                  <w:i/>
                  <w:iCs/>
                </w:rPr>
              </m:ctrlPr>
            </m:sSubPr>
            <m:e>
              <m:r>
                <w:rPr>
                  <w:rFonts w:ascii="Cambria Math" w:hAnsi="Cambria Math"/>
                </w:rPr>
                <m:t>η</m:t>
              </m:r>
            </m:e>
            <m:sub>
              <m:r>
                <w:rPr>
                  <w:rFonts w:ascii="Cambria Math" w:hAnsi="Cambria Math"/>
                </w:rPr>
                <m:t>t-1</m:t>
              </m:r>
            </m:sub>
          </m:sSub>
        </m:oMath>
      </m:oMathPara>
    </w:p>
    <w:p w14:paraId="1002240C" w14:textId="0F0F04E3" w:rsidR="001A7EB4" w:rsidRDefault="001A7EB4" w:rsidP="00664006">
      <w:pPr>
        <w:spacing w:before="120" w:after="120"/>
        <w:jc w:val="both"/>
      </w:pPr>
      <w:r w:rsidRPr="001A7EB4">
        <w:rPr>
          <w:i/>
          <w:iCs/>
        </w:rPr>
        <w:t>α</w:t>
      </w:r>
      <w:r w:rsidRPr="0099695E">
        <w:rPr>
          <w:vertAlign w:val="subscript"/>
        </w:rPr>
        <w:t>0</w:t>
      </w:r>
      <w:r w:rsidRPr="001A7EB4">
        <w:t xml:space="preserve"> được xác định bởi cross-validation, và </w:t>
      </w:r>
      <w:r w:rsidRPr="001A7EB4">
        <w:rPr>
          <w:i/>
          <w:iCs/>
        </w:rPr>
        <w:t>η</w:t>
      </w:r>
      <w:r w:rsidRPr="0099695E">
        <w:rPr>
          <w:vertAlign w:val="subscript"/>
        </w:rPr>
        <w:t>0</w:t>
      </w:r>
      <w:r w:rsidRPr="001A7EB4">
        <w:t xml:space="preserve"> thường bắt đầu trong khoảng 10</w:t>
      </w:r>
      <w:r w:rsidRPr="0099695E">
        <w:rPr>
          <w:i/>
          <w:iCs/>
          <w:vertAlign w:val="superscript"/>
        </w:rPr>
        <w:t>−</w:t>
      </w:r>
      <w:r w:rsidRPr="0099695E">
        <w:rPr>
          <w:vertAlign w:val="superscript"/>
        </w:rPr>
        <w:t>3</w:t>
      </w:r>
      <w:r w:rsidRPr="001A7EB4">
        <w:t xml:space="preserve"> </w:t>
      </w:r>
      <w:r w:rsidRPr="001A7EB4">
        <w:rPr>
          <w:i/>
          <w:iCs/>
        </w:rPr>
        <w:t>−</w:t>
      </w:r>
      <w:r w:rsidRPr="001A7EB4">
        <w:br/>
        <w:t>10</w:t>
      </w:r>
      <w:r w:rsidRPr="0099695E">
        <w:rPr>
          <w:i/>
          <w:iCs/>
          <w:vertAlign w:val="superscript"/>
        </w:rPr>
        <w:t>−</w:t>
      </w:r>
      <w:r w:rsidRPr="0099695E">
        <w:rPr>
          <w:vertAlign w:val="superscript"/>
        </w:rPr>
        <w:t>2</w:t>
      </w:r>
      <w:r w:rsidRPr="001A7EB4">
        <w:t>.</w:t>
      </w:r>
    </w:p>
    <w:p w14:paraId="03B78DC0" w14:textId="1321B9F1" w:rsidR="00EF6BB7" w:rsidRDefault="00EF6BB7" w:rsidP="00EF6BB7">
      <w:pPr>
        <w:ind w:firstLine="540"/>
        <w:jc w:val="both"/>
      </w:pPr>
      <w:r w:rsidRPr="00EF6BB7">
        <w:lastRenderedPageBreak/>
        <w:t>Trong khi momentum giống như một quả cầu lao xuống dốc, thì Adam lại giống như một quả cầu rất nặng và có ma sát (friction), nhờ vậy nó dễ dàng vượt qua local minimum và đạt tới điểm tối ưu nhất (flat minimum)</w:t>
      </w:r>
      <w:r>
        <w:t>.</w:t>
      </w:r>
    </w:p>
    <w:p w14:paraId="0FE71C35" w14:textId="3031E5F0" w:rsidR="000723C2" w:rsidRDefault="000723C2" w:rsidP="00EF6BB7">
      <w:pPr>
        <w:ind w:firstLine="540"/>
        <w:jc w:val="both"/>
      </w:pPr>
    </w:p>
    <w:p w14:paraId="054EE303" w14:textId="3E678DC2" w:rsidR="000723C2" w:rsidRDefault="000723C2" w:rsidP="00EF6BB7">
      <w:pPr>
        <w:ind w:firstLine="540"/>
        <w:jc w:val="both"/>
      </w:pPr>
    </w:p>
    <w:p w14:paraId="25B610A3" w14:textId="54A909CA" w:rsidR="000723C2" w:rsidRDefault="000723C2" w:rsidP="00EF6BB7">
      <w:pPr>
        <w:ind w:firstLine="540"/>
        <w:jc w:val="both"/>
      </w:pPr>
    </w:p>
    <w:p w14:paraId="73E97CA5" w14:textId="5F5FC638" w:rsidR="000723C2" w:rsidRDefault="000723C2" w:rsidP="00EF6BB7">
      <w:pPr>
        <w:ind w:firstLine="540"/>
        <w:jc w:val="both"/>
      </w:pPr>
    </w:p>
    <w:p w14:paraId="78442AFB" w14:textId="12C2351B" w:rsidR="000723C2" w:rsidRPr="00EF6BB7" w:rsidRDefault="00700E86" w:rsidP="00EF6BB7">
      <w:pPr>
        <w:ind w:firstLine="540"/>
        <w:jc w:val="both"/>
      </w:pPr>
      <w:hyperlink r:id="rId8" w:history="1">
        <w:r w:rsidR="000723C2">
          <w:rPr>
            <w:rStyle w:val="Hyperlink"/>
          </w:rPr>
          <w:t>https://viblo.asia/p/thuat-toan-toi-uu-adam-aWj53k8Q56m</w:t>
        </w:r>
      </w:hyperlink>
    </w:p>
    <w:p w14:paraId="4E3B2CB0" w14:textId="77777777" w:rsidR="00EF6BB7" w:rsidRPr="001A7EB4" w:rsidRDefault="00EF6BB7" w:rsidP="00664006">
      <w:pPr>
        <w:spacing w:before="120" w:after="120"/>
        <w:jc w:val="both"/>
      </w:pPr>
    </w:p>
    <w:sectPr w:rsidR="00EF6BB7" w:rsidRPr="001A7EB4" w:rsidSect="009726EA">
      <w:pgSz w:w="11906" w:h="16838" w:code="9"/>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39B"/>
    <w:multiLevelType w:val="multilevel"/>
    <w:tmpl w:val="0F60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35CDD"/>
    <w:multiLevelType w:val="multilevel"/>
    <w:tmpl w:val="CD76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71E39"/>
    <w:multiLevelType w:val="multilevel"/>
    <w:tmpl w:val="426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569D7"/>
    <w:multiLevelType w:val="multilevel"/>
    <w:tmpl w:val="5CA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D1680"/>
    <w:multiLevelType w:val="hybridMultilevel"/>
    <w:tmpl w:val="A0C4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DD5F33"/>
    <w:multiLevelType w:val="multilevel"/>
    <w:tmpl w:val="0914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EA"/>
    <w:rsid w:val="000723C2"/>
    <w:rsid w:val="00081F24"/>
    <w:rsid w:val="000F2474"/>
    <w:rsid w:val="00173453"/>
    <w:rsid w:val="001A7EB4"/>
    <w:rsid w:val="001B52F4"/>
    <w:rsid w:val="00276EA3"/>
    <w:rsid w:val="003D3F37"/>
    <w:rsid w:val="003F5D68"/>
    <w:rsid w:val="00410C73"/>
    <w:rsid w:val="00412369"/>
    <w:rsid w:val="00430AB7"/>
    <w:rsid w:val="00535956"/>
    <w:rsid w:val="005956A6"/>
    <w:rsid w:val="005B1428"/>
    <w:rsid w:val="00664006"/>
    <w:rsid w:val="00700E86"/>
    <w:rsid w:val="007425B2"/>
    <w:rsid w:val="00746B98"/>
    <w:rsid w:val="00786613"/>
    <w:rsid w:val="007E4661"/>
    <w:rsid w:val="008042DB"/>
    <w:rsid w:val="008E37B1"/>
    <w:rsid w:val="0090215C"/>
    <w:rsid w:val="00902CE9"/>
    <w:rsid w:val="0096776A"/>
    <w:rsid w:val="009726EA"/>
    <w:rsid w:val="0099695E"/>
    <w:rsid w:val="009B4AAF"/>
    <w:rsid w:val="009E257B"/>
    <w:rsid w:val="00A266A7"/>
    <w:rsid w:val="00A67CAC"/>
    <w:rsid w:val="00AF791A"/>
    <w:rsid w:val="00B2401B"/>
    <w:rsid w:val="00B934CA"/>
    <w:rsid w:val="00BB382C"/>
    <w:rsid w:val="00BE278B"/>
    <w:rsid w:val="00C21361"/>
    <w:rsid w:val="00C51767"/>
    <w:rsid w:val="00C54166"/>
    <w:rsid w:val="00D152A8"/>
    <w:rsid w:val="00D161C8"/>
    <w:rsid w:val="00EF6BB7"/>
    <w:rsid w:val="00F1626A"/>
    <w:rsid w:val="00F25B4A"/>
    <w:rsid w:val="00F61AD3"/>
    <w:rsid w:val="00F7115C"/>
    <w:rsid w:val="00F7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E938"/>
  <w15:chartTrackingRefBased/>
  <w15:docId w15:val="{6E9333C7-7006-457A-8C16-5E46EF36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EA"/>
    <w:pPr>
      <w:spacing w:after="0" w:line="360"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EB4"/>
    <w:pPr>
      <w:ind w:left="720"/>
      <w:contextualSpacing/>
    </w:pPr>
  </w:style>
  <w:style w:type="character" w:styleId="PlaceholderText">
    <w:name w:val="Placeholder Text"/>
    <w:basedOn w:val="DefaultParagraphFont"/>
    <w:uiPriority w:val="99"/>
    <w:semiHidden/>
    <w:rsid w:val="00B934CA"/>
    <w:rPr>
      <w:color w:val="808080"/>
    </w:rPr>
  </w:style>
  <w:style w:type="character" w:styleId="Emphasis">
    <w:name w:val="Emphasis"/>
    <w:basedOn w:val="DefaultParagraphFont"/>
    <w:uiPriority w:val="20"/>
    <w:qFormat/>
    <w:rsid w:val="00D161C8"/>
    <w:rPr>
      <w:i/>
      <w:iCs/>
    </w:rPr>
  </w:style>
  <w:style w:type="character" w:customStyle="1" w:styleId="mjx-char">
    <w:name w:val="mjx-char"/>
    <w:basedOn w:val="DefaultParagraphFont"/>
    <w:rsid w:val="00D161C8"/>
  </w:style>
  <w:style w:type="character" w:customStyle="1" w:styleId="mjxassistivemathml">
    <w:name w:val="mjx_assistive_mathml"/>
    <w:basedOn w:val="DefaultParagraphFont"/>
    <w:rsid w:val="00D161C8"/>
  </w:style>
  <w:style w:type="character" w:styleId="Hyperlink">
    <w:name w:val="Hyperlink"/>
    <w:basedOn w:val="DefaultParagraphFont"/>
    <w:uiPriority w:val="99"/>
    <w:semiHidden/>
    <w:unhideWhenUsed/>
    <w:rsid w:val="00C51767"/>
    <w:rPr>
      <w:color w:val="0000FF"/>
      <w:u w:val="single"/>
    </w:rPr>
  </w:style>
  <w:style w:type="paragraph" w:styleId="NormalWeb">
    <w:name w:val="Normal (Web)"/>
    <w:basedOn w:val="Normal"/>
    <w:uiPriority w:val="99"/>
    <w:semiHidden/>
    <w:unhideWhenUsed/>
    <w:rsid w:val="00C5176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4414">
      <w:bodyDiv w:val="1"/>
      <w:marLeft w:val="0"/>
      <w:marRight w:val="0"/>
      <w:marTop w:val="0"/>
      <w:marBottom w:val="0"/>
      <w:divBdr>
        <w:top w:val="none" w:sz="0" w:space="0" w:color="auto"/>
        <w:left w:val="none" w:sz="0" w:space="0" w:color="auto"/>
        <w:bottom w:val="none" w:sz="0" w:space="0" w:color="auto"/>
        <w:right w:val="none" w:sz="0" w:space="0" w:color="auto"/>
      </w:divBdr>
    </w:div>
    <w:div w:id="217788389">
      <w:bodyDiv w:val="1"/>
      <w:marLeft w:val="0"/>
      <w:marRight w:val="0"/>
      <w:marTop w:val="0"/>
      <w:marBottom w:val="0"/>
      <w:divBdr>
        <w:top w:val="none" w:sz="0" w:space="0" w:color="auto"/>
        <w:left w:val="none" w:sz="0" w:space="0" w:color="auto"/>
        <w:bottom w:val="none" w:sz="0" w:space="0" w:color="auto"/>
        <w:right w:val="none" w:sz="0" w:space="0" w:color="auto"/>
      </w:divBdr>
    </w:div>
    <w:div w:id="641957718">
      <w:bodyDiv w:val="1"/>
      <w:marLeft w:val="0"/>
      <w:marRight w:val="0"/>
      <w:marTop w:val="0"/>
      <w:marBottom w:val="0"/>
      <w:divBdr>
        <w:top w:val="none" w:sz="0" w:space="0" w:color="auto"/>
        <w:left w:val="none" w:sz="0" w:space="0" w:color="auto"/>
        <w:bottom w:val="none" w:sz="0" w:space="0" w:color="auto"/>
        <w:right w:val="none" w:sz="0" w:space="0" w:color="auto"/>
      </w:divBdr>
    </w:div>
    <w:div w:id="913248538">
      <w:bodyDiv w:val="1"/>
      <w:marLeft w:val="0"/>
      <w:marRight w:val="0"/>
      <w:marTop w:val="0"/>
      <w:marBottom w:val="0"/>
      <w:divBdr>
        <w:top w:val="none" w:sz="0" w:space="0" w:color="auto"/>
        <w:left w:val="none" w:sz="0" w:space="0" w:color="auto"/>
        <w:bottom w:val="none" w:sz="0" w:space="0" w:color="auto"/>
        <w:right w:val="none" w:sz="0" w:space="0" w:color="auto"/>
      </w:divBdr>
    </w:div>
    <w:div w:id="108344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thuat-toan-toi-uu-adam-aWj53k8Q56m" TargetMode="External"/><Relationship Id="rId3" Type="http://schemas.openxmlformats.org/officeDocument/2006/relationships/settings" Target="settings.xml"/><Relationship Id="rId7" Type="http://schemas.openxmlformats.org/officeDocument/2006/relationships/hyperlink" Target="https://cs231n.github.io/neural-network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dc:creator>
  <cp:keywords/>
  <dc:description/>
  <cp:lastModifiedBy>Duc Phan</cp:lastModifiedBy>
  <cp:revision>7</cp:revision>
  <dcterms:created xsi:type="dcterms:W3CDTF">2019-05-15T15:11:00Z</dcterms:created>
  <dcterms:modified xsi:type="dcterms:W3CDTF">2019-05-18T18:30:00Z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