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LEO-Q</w:t>
      </w:r>
    </w:p>
    <w:p>
      <w:pPr>
        <w:jc w:val="center"/>
      </w:pPr>
      <w:r>
        <w:rPr>
          <w:b/>
          <w:sz w:val="36"/>
        </w:rPr>
        <w:t>High-Level Requirements Document (HLRD)</w:t>
      </w:r>
    </w:p>
    <w:p>
      <w:pPr>
        <w:jc w:val="center"/>
      </w:pPr>
      <w:r>
        <w:rPr>
          <w:i/>
        </w:rPr>
        <w:t>Quantum-Secured LEO Satellite Network for Low-Latency Financial Messaging</w:t>
        <w:br/>
      </w:r>
      <w:r>
        <w:t>Version 0.9  |  Date: January 15, 2026</w:t>
        <w:br/>
      </w:r>
      <w:r>
        <w:t>Owner: Phaneendra Vayu Kumar Yerra</w:t>
        <w:br/>
      </w:r>
    </w:p>
    <w:p>
      <w:r>
        <w:rPr>
          <w:i/>
        </w:rPr>
        <w:t>Confidential - Research prototype requirements. Not for production deployment without security and engineering validation.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 Summary</w:t>
            </w:r>
          </w:p>
        </w:tc>
        <w:tc>
          <w:tcPr>
            <w:tcW w:type="dxa" w:w="1728"/>
          </w:tcPr>
          <w:p>
            <w:r>
              <w:t>Approver</w:t>
            </w:r>
          </w:p>
        </w:tc>
      </w:tr>
      <w:tr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2026-01-15</w:t>
            </w:r>
          </w:p>
        </w:tc>
        <w:tc>
          <w:tcPr>
            <w:tcW w:type="dxa" w:w="1728"/>
          </w:tcPr>
          <w:p>
            <w:r>
              <w:t>Phaneendra Vayu Kumar Yerra</w:t>
            </w:r>
          </w:p>
        </w:tc>
        <w:tc>
          <w:tcPr>
            <w:tcW w:type="dxa" w:w="1728"/>
          </w:tcPr>
          <w:p>
            <w:r>
              <w:t>Initial industrial high-level requirements baseline.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</w:tbl>
    <w:p/>
    <w:p>
      <w:pPr>
        <w:pStyle w:val="Heading2"/>
      </w:pPr>
      <w:r>
        <w:t>Intended Audience</w:t>
      </w:r>
    </w:p>
    <w:p>
      <w:r>
        <w:t>This document is intended for reviewers, architects, engineers, collaborators, and external evaluators to understand the high-level scope, capabilities, and quality attributes of the LEO-Q reference implementation.</w:t>
      </w:r>
    </w:p>
    <w:p>
      <w:pPr>
        <w:pStyle w:val="Heading2"/>
      </w:pPr>
      <w:r>
        <w:t>Reference Standards</w:t>
      </w:r>
    </w:p>
    <w:p>
      <w:r>
        <w:t>Structure aligns with common industry and systems engineering practices (e.g., IEEE/ISO requirements documentation conventions), adapted for a research prototype.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Note: In Microsoft Word, right-click this page and select 'Update Field' to generate the Table of Contents.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LEO-Q is a research prototype and reproducible software implementation that models a Low Earth Orbit (LEO) satellite-assisted communication layer for time-sensitive financial messaging. The system enables controlled experiments for latency-aware and risk-aware routing, security session abstraction (QKD and post-quantum placeholders), and the downstream impact on trading execution quality.</w:t>
      </w:r>
    </w:p>
    <w:p>
      <w:pPr>
        <w:pStyle w:val="Heading2"/>
      </w:pPr>
      <w:r>
        <w:t>1.2 Scope</w:t>
      </w:r>
    </w:p>
    <w:p>
      <w:r>
        <w:t>In scope:</w:t>
      </w:r>
    </w:p>
    <w:p>
      <w:pPr>
        <w:pStyle w:val="ListBullet"/>
      </w:pPr>
      <w:r>
        <w:t>Topology generation for a configurable LEO mesh (static for current version).</w:t>
      </w:r>
    </w:p>
    <w:p>
      <w:pPr>
        <w:pStyle w:val="ListBullet"/>
      </w:pPr>
      <w:r>
        <w:t>Latency and jitter modeling for inter-satellite and ground links (synthetic parameters).</w:t>
      </w:r>
    </w:p>
    <w:p>
      <w:pPr>
        <w:pStyle w:val="ListBullet"/>
      </w:pPr>
      <w:r>
        <w:t>Routing algorithms: baseline, latency-aware, and risk-aware.</w:t>
      </w:r>
    </w:p>
    <w:p>
      <w:pPr>
        <w:pStyle w:val="ListBullet"/>
      </w:pPr>
      <w:r>
        <w:t>Secure session scaffolding: QKD key material stub, PQC encryption stub, session wrapper.</w:t>
      </w:r>
    </w:p>
    <w:p>
      <w:pPr>
        <w:pStyle w:val="ListBullet"/>
      </w:pPr>
      <w:r>
        <w:t>Trading impact sandbox: synthetic feed, delayed execution, slippage metrics.</w:t>
      </w:r>
    </w:p>
    <w:p>
      <w:pPr>
        <w:pStyle w:val="ListBullet"/>
      </w:pPr>
      <w:r>
        <w:t>Dataset generation and ML latency prediction (ML.NET) from path features.</w:t>
      </w:r>
    </w:p>
    <w:p>
      <w:pPr>
        <w:pStyle w:val="ListBullet"/>
      </w:pPr>
      <w:r>
        <w:t>Evidence packaging: scripts, tests, versioned releases, documentation traceability.</w:t>
      </w:r>
    </w:p>
    <w:p>
      <w:r>
        <w:t>Out of scope (current version):</w:t>
      </w:r>
    </w:p>
    <w:p>
      <w:pPr>
        <w:pStyle w:val="ListBullet"/>
      </w:pPr>
      <w:r>
        <w:t>Orbital mechanics / TLE-driven dynamic topology updates.</w:t>
      </w:r>
    </w:p>
    <w:p>
      <w:pPr>
        <w:pStyle w:val="ListBullet"/>
      </w:pPr>
      <w:r>
        <w:t>Validated cryptographic implementations (real QKD protocols, standardized PQC suites).</w:t>
      </w:r>
    </w:p>
    <w:p>
      <w:pPr>
        <w:pStyle w:val="ListBullet"/>
      </w:pPr>
      <w:r>
        <w:t>Production trading connectivity, market microstructure, or real order book simulation.</w:t>
      </w:r>
    </w:p>
    <w:p>
      <w:pPr>
        <w:pStyle w:val="ListBullet"/>
      </w:pPr>
      <w:r>
        <w:t>Operational deployment concerns (SRE, compliance certification, threat modeling).</w:t>
      </w:r>
    </w:p>
    <w:p>
      <w:pPr>
        <w:pStyle w:val="Heading2"/>
      </w:pPr>
      <w:r>
        <w:t>1.3 Definitions and Acronyms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LEO</w:t>
            </w:r>
          </w:p>
        </w:tc>
        <w:tc>
          <w:tcPr>
            <w:tcW w:type="dxa" w:w="4320"/>
          </w:tcPr>
          <w:p>
            <w:r>
              <w:t>Low Earth Orbit</w:t>
            </w:r>
          </w:p>
        </w:tc>
      </w:tr>
      <w:tr>
        <w:tc>
          <w:tcPr>
            <w:tcW w:type="dxa" w:w="4320"/>
          </w:tcPr>
          <w:p>
            <w:r>
              <w:t>ISL</w:t>
            </w:r>
          </w:p>
        </w:tc>
        <w:tc>
          <w:tcPr>
            <w:tcW w:type="dxa" w:w="4320"/>
          </w:tcPr>
          <w:p>
            <w:r>
              <w:t>Inter-Satellite Link</w:t>
            </w:r>
          </w:p>
        </w:tc>
      </w:tr>
      <w:tr>
        <w:tc>
          <w:tcPr>
            <w:tcW w:type="dxa" w:w="4320"/>
          </w:tcPr>
          <w:p>
            <w:r>
              <w:t>QKD</w:t>
            </w:r>
          </w:p>
        </w:tc>
        <w:tc>
          <w:tcPr>
            <w:tcW w:type="dxa" w:w="4320"/>
          </w:tcPr>
          <w:p>
            <w:r>
              <w:t>Quantum Key Distribution (placeholder/stub in this prototype)</w:t>
            </w:r>
          </w:p>
        </w:tc>
      </w:tr>
      <w:tr>
        <w:tc>
          <w:tcPr>
            <w:tcW w:type="dxa" w:w="4320"/>
          </w:tcPr>
          <w:p>
            <w:r>
              <w:t>PQC</w:t>
            </w:r>
          </w:p>
        </w:tc>
        <w:tc>
          <w:tcPr>
            <w:tcW w:type="dxa" w:w="4320"/>
          </w:tcPr>
          <w:p>
            <w:r>
              <w:t>Post-Quantum Cryptography (placeholder/stub in this prototype)</w:t>
            </w:r>
          </w:p>
        </w:tc>
      </w:tr>
      <w:tr>
        <w:tc>
          <w:tcPr>
            <w:tcW w:type="dxa" w:w="4320"/>
          </w:tcPr>
          <w:p>
            <w:r>
              <w:t>HLRD</w:t>
            </w:r>
          </w:p>
        </w:tc>
        <w:tc>
          <w:tcPr>
            <w:tcW w:type="dxa" w:w="4320"/>
          </w:tcPr>
          <w:p>
            <w:r>
              <w:t>High-Level Requirements Document</w:t>
            </w:r>
          </w:p>
        </w:tc>
      </w:tr>
      <w:tr>
        <w:tc>
          <w:tcPr>
            <w:tcW w:type="dxa" w:w="4320"/>
          </w:tcPr>
          <w:p>
            <w:r>
              <w:t>SLO</w:t>
            </w:r>
          </w:p>
        </w:tc>
        <w:tc>
          <w:tcPr>
            <w:tcW w:type="dxa" w:w="4320"/>
          </w:tcPr>
          <w:p>
            <w:r>
              <w:t>Service Level Objective</w:t>
            </w:r>
          </w:p>
        </w:tc>
      </w:tr>
      <w:tr>
        <w:tc>
          <w:tcPr>
            <w:tcW w:type="dxa" w:w="4320"/>
          </w:tcPr>
          <w:p>
            <w:r>
              <w:t>p95/p99</w:t>
            </w:r>
          </w:p>
        </w:tc>
        <w:tc>
          <w:tcPr>
            <w:tcW w:type="dxa" w:w="4320"/>
          </w:tcPr>
          <w:p>
            <w:r>
              <w:t>95th/99th percentile metric</w:t>
            </w:r>
          </w:p>
        </w:tc>
      </w:tr>
    </w:tbl>
    <w:p>
      <w:r>
        <w:br w:type="page"/>
      </w:r>
    </w:p>
    <w:p>
      <w:pPr>
        <w:pStyle w:val="Heading1"/>
      </w:pPr>
      <w:r>
        <w:t>2. Stakeholders and High-Level Use Cases</w:t>
      </w:r>
    </w:p>
    <w:p>
      <w:pPr>
        <w:pStyle w:val="Heading2"/>
      </w:pPr>
      <w:r>
        <w:t>2.1 Stakeholders</w:t>
      </w:r>
    </w:p>
    <w:p>
      <w:pPr>
        <w:pStyle w:val="ListBullet"/>
      </w:pPr>
      <w:r>
        <w:t>Primary stakeholder: Research owner and author.</w:t>
      </w:r>
    </w:p>
    <w:p>
      <w:pPr>
        <w:pStyle w:val="ListBullet"/>
      </w:pPr>
      <w:r>
        <w:t>Secondary stakeholders: peer reviewers, collaborators, and external evaluators.</w:t>
      </w:r>
    </w:p>
    <w:p>
      <w:pPr>
        <w:pStyle w:val="ListBullet"/>
      </w:pPr>
      <w:r>
        <w:t>Users: researchers and engineers evaluating low-latency secure routing concepts for financial systems.</w:t>
      </w:r>
    </w:p>
    <w:p>
      <w:pPr>
        <w:pStyle w:val="Heading2"/>
      </w:pPr>
      <w:r>
        <w:t>2.2 High-Level Use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UC-01</w:t>
            </w:r>
          </w:p>
        </w:tc>
        <w:tc>
          <w:tcPr>
            <w:tcW w:type="dxa" w:w="4320"/>
          </w:tcPr>
          <w:p>
            <w:r>
              <w:t>Run routing benchmark across random source-destination pairs and compare baseline vs latency-aware vs risk-aware delays.</w:t>
            </w:r>
          </w:p>
        </w:tc>
      </w:tr>
      <w:tr>
        <w:tc>
          <w:tcPr>
            <w:tcW w:type="dxa" w:w="4320"/>
          </w:tcPr>
          <w:p>
            <w:r>
              <w:t>UC-02</w:t>
            </w:r>
          </w:p>
        </w:tc>
        <w:tc>
          <w:tcPr>
            <w:tcW w:type="dxa" w:w="4320"/>
          </w:tcPr>
          <w:p>
            <w:r>
              <w:t>Generate a synthetic dataset of path features and delays for machine learning training.</w:t>
            </w:r>
          </w:p>
        </w:tc>
      </w:tr>
      <w:tr>
        <w:tc>
          <w:tcPr>
            <w:tcW w:type="dxa" w:w="4320"/>
          </w:tcPr>
          <w:p>
            <w:r>
              <w:t>UC-03</w:t>
            </w:r>
          </w:p>
        </w:tc>
        <w:tc>
          <w:tcPr>
            <w:tcW w:type="dxa" w:w="4320"/>
          </w:tcPr>
          <w:p>
            <w:r>
              <w:t>Train an ML.NET regression model to predict end-to-end delay and export a model artifact.</w:t>
            </w:r>
          </w:p>
        </w:tc>
      </w:tr>
      <w:tr>
        <w:tc>
          <w:tcPr>
            <w:tcW w:type="dxa" w:w="4320"/>
          </w:tcPr>
          <w:p>
            <w:r>
              <w:t>UC-04</w:t>
            </w:r>
          </w:p>
        </w:tc>
        <w:tc>
          <w:tcPr>
            <w:tcW w:type="dxa" w:w="4320"/>
          </w:tcPr>
          <w:p>
            <w:r>
              <w:t>Demonstrate secure-session wrappers around message payloads using QKD/PQC stubs.</w:t>
            </w:r>
          </w:p>
        </w:tc>
      </w:tr>
      <w:tr>
        <w:tc>
          <w:tcPr>
            <w:tcW w:type="dxa" w:w="4320"/>
          </w:tcPr>
          <w:p>
            <w:r>
              <w:t>UC-05</w:t>
            </w:r>
          </w:p>
        </w:tc>
        <w:tc>
          <w:tcPr>
            <w:tcW w:type="dxa" w:w="4320"/>
          </w:tcPr>
          <w:p>
            <w:r>
              <w:t>Run a toy trading backtest where execution delay impacts fill price and slippage metrics.</w:t>
            </w:r>
          </w:p>
        </w:tc>
      </w:tr>
      <w:tr>
        <w:tc>
          <w:tcPr>
            <w:tcW w:type="dxa" w:w="4320"/>
          </w:tcPr>
          <w:p>
            <w:r>
              <w:t>UC-06</w:t>
            </w:r>
          </w:p>
        </w:tc>
        <w:tc>
          <w:tcPr>
            <w:tcW w:type="dxa" w:w="4320"/>
          </w:tcPr>
          <w:p>
            <w:r>
              <w:t>Produce evidence artifacts: release tags, CI/test results, reproducible commands, and traceability mapping to paper sections.</w:t>
            </w:r>
          </w:p>
        </w:tc>
      </w:tr>
    </w:tbl>
    <w:p>
      <w:r>
        <w:br w:type="page"/>
      </w:r>
    </w:p>
    <w:p>
      <w:pPr>
        <w:pStyle w:val="Heading1"/>
      </w:pPr>
      <w:r>
        <w:t>3. System Overview and Context</w:t>
      </w:r>
    </w:p>
    <w:p>
      <w:pPr>
        <w:pStyle w:val="Heading2"/>
      </w:pPr>
      <w:r>
        <w:t>3.1 System Context</w:t>
      </w:r>
    </w:p>
    <w:p>
      <w:r>
        <w:t>LEO-Q models the communications path between trading endpoints using a LEO satellite mesh. The prototype provides repeatable experiments that estimate propagation delays, introduce jitter, choose routes according to different policies, and evaluate downstream effects (e.g., execution delay and slippage).</w:t>
      </w:r>
    </w:p>
    <w:p>
      <w:pPr>
        <w:pStyle w:val="Heading2"/>
      </w:pPr>
      <w:r>
        <w:t>3.2 High-Level Architecture (Conceptual)</w:t>
      </w:r>
    </w:p>
    <w:p>
      <w:r>
        <w:t>Major components:</w:t>
      </w:r>
    </w:p>
    <w:p>
      <w:pPr>
        <w:pStyle w:val="ListBullet"/>
      </w:pPr>
      <w:r>
        <w:t>Topology Builder: constructs a configurable LEO mesh graph.</w:t>
      </w:r>
    </w:p>
    <w:p>
      <w:pPr>
        <w:pStyle w:val="ListBullet"/>
      </w:pPr>
      <w:r>
        <w:t>Latency/Jitter Model: assigns link distances and computes delays; samples jitter.</w:t>
      </w:r>
    </w:p>
    <w:p>
      <w:pPr>
        <w:pStyle w:val="ListBullet"/>
      </w:pPr>
      <w:r>
        <w:t>Routing Engine: baseline, latency-aware, and risk-aware route selection.</w:t>
      </w:r>
    </w:p>
    <w:p>
      <w:pPr>
        <w:pStyle w:val="ListBullet"/>
      </w:pPr>
      <w:r>
        <w:t>Security Session Layer: key generation and payload protection stubs.</w:t>
      </w:r>
    </w:p>
    <w:p>
      <w:pPr>
        <w:pStyle w:val="ListBullet"/>
      </w:pPr>
      <w:r>
        <w:t>Trading Sandbox: synthetic feed, delayed execution, slippage metrics.</w:t>
      </w:r>
    </w:p>
    <w:p>
      <w:pPr>
        <w:pStyle w:val="ListBullet"/>
      </w:pPr>
      <w:r>
        <w:t>Dataset Generator + ML.NET Trainer: produces data and trains latency predictor.</w:t>
      </w:r>
    </w:p>
    <w:p>
      <w:pPr>
        <w:pStyle w:val="ListBullet"/>
      </w:pPr>
      <w:r>
        <w:t>Evidence Packaging: tests, CI, releases, documentation mapping.</w:t>
      </w:r>
    </w:p>
    <w:p>
      <w:r>
        <w:br w:type="page"/>
      </w:r>
    </w:p>
    <w:p>
      <w:pPr>
        <w:pStyle w:val="Heading1"/>
      </w:pPr>
      <w:r>
        <w:t>4. High-Level Functional Requirements</w:t>
      </w:r>
    </w:p>
    <w:p>
      <w:r>
        <w:t>Requirements are expressed as 'shall' statements. Each requirement includes an acceptance statement intended for verification via script execution, unit tests, or documentation evidence.</w:t>
      </w:r>
    </w:p>
    <w:p>
      <w:pPr>
        <w:pStyle w:val="Heading2"/>
      </w:pPr>
      <w:r>
        <w:t>4.1 Topology and Network Modeling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FR-001</w:t>
            </w:r>
          </w:p>
        </w:tc>
        <w:tc>
          <w:tcPr>
            <w:tcW w:type="dxa" w:w="1728"/>
          </w:tcPr>
          <w:p>
            <w:r>
              <w:t>The system shall generate a configurable LEO mesh topology with N satellites and adjustable link density.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Enables repeatable experiments with varying constellation sizes and connectivity.</w:t>
            </w:r>
          </w:p>
        </w:tc>
        <w:tc>
          <w:tcPr>
            <w:tcW w:type="dxa" w:w="1728"/>
          </w:tcPr>
          <w:p>
            <w:r>
              <w:t>Run topology builder with N and link parameters; graph is produced and connected for expected configurations.</w:t>
            </w:r>
          </w:p>
        </w:tc>
      </w:tr>
      <w:tr>
        <w:tc>
          <w:tcPr>
            <w:tcW w:type="dxa" w:w="1728"/>
          </w:tcPr>
          <w:p>
            <w:r>
              <w:t>FR-002</w:t>
            </w:r>
          </w:p>
        </w:tc>
        <w:tc>
          <w:tcPr>
            <w:tcW w:type="dxa" w:w="1728"/>
          </w:tcPr>
          <w:p>
            <w:r>
              <w:t>The system shall assign synthetic physical distance and propagation delay attributes to each link.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Provides the basis for latency-aware route selection and measurement.</w:t>
            </w:r>
          </w:p>
        </w:tc>
        <w:tc>
          <w:tcPr>
            <w:tcW w:type="dxa" w:w="1728"/>
          </w:tcPr>
          <w:p>
            <w:r>
              <w:t>Edges include distance_km and delay_ms fields after running the delay assignment step.</w:t>
            </w:r>
          </w:p>
        </w:tc>
      </w:tr>
      <w:tr>
        <w:tc>
          <w:tcPr>
            <w:tcW w:type="dxa" w:w="1728"/>
          </w:tcPr>
          <w:p>
            <w:r>
              <w:t>FR-003</w:t>
            </w:r>
          </w:p>
        </w:tc>
        <w:tc>
          <w:tcPr>
            <w:tcW w:type="dxa" w:w="1728"/>
          </w:tcPr>
          <w:p>
            <w:r>
              <w:t>The system should support jitter sampling and aggregation on a path.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Captures stochastic variation relevant for tail latency analysis.</w:t>
            </w:r>
          </w:p>
        </w:tc>
        <w:tc>
          <w:tcPr>
            <w:tcW w:type="dxa" w:w="1728"/>
          </w:tcPr>
          <w:p>
            <w:r>
              <w:t>Benchmark scripts can compute delay plus sampled jitter and output summary statistics.</w:t>
            </w:r>
          </w:p>
        </w:tc>
      </w:tr>
    </w:tbl>
    <w:p/>
    <w:p>
      <w:pPr>
        <w:pStyle w:val="Heading2"/>
      </w:pPr>
      <w:r>
        <w:t>4.2 Routing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FR-010</w:t>
            </w:r>
          </w:p>
        </w:tc>
        <w:tc>
          <w:tcPr>
            <w:tcW w:type="dxa" w:w="1728"/>
          </w:tcPr>
          <w:p>
            <w:r>
              <w:t>The system shall compute baseline routes using shortest hop count between any connected node pair.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Provides a reference baseline for comparisons.</w:t>
            </w:r>
          </w:p>
        </w:tc>
        <w:tc>
          <w:tcPr>
            <w:tcW w:type="dxa" w:w="1728"/>
          </w:tcPr>
          <w:p>
            <w:r>
              <w:t>For a connected graph, baseline routing returns a valid path for sampled pairs.</w:t>
            </w:r>
          </w:p>
        </w:tc>
      </w:tr>
      <w:tr>
        <w:tc>
          <w:tcPr>
            <w:tcW w:type="dxa" w:w="1728"/>
          </w:tcPr>
          <w:p>
            <w:r>
              <w:t>FR-011</w:t>
            </w:r>
          </w:p>
        </w:tc>
        <w:tc>
          <w:tcPr>
            <w:tcW w:type="dxa" w:w="1728"/>
          </w:tcPr>
          <w:p>
            <w:r>
              <w:t>The system shall compute latency-aware routes that minimize total delay_ms using weighted shortest path.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Demonstrates latency minimization policy expected in low-latency systems.</w:t>
            </w:r>
          </w:p>
        </w:tc>
        <w:tc>
          <w:tcPr>
            <w:tcW w:type="dxa" w:w="1728"/>
          </w:tcPr>
          <w:p>
            <w:r>
              <w:t>Across sampled pairs, latency-aware routing produces equal or lower average delay than baseline under identical link weights.</w:t>
            </w:r>
          </w:p>
        </w:tc>
      </w:tr>
      <w:tr>
        <w:tc>
          <w:tcPr>
            <w:tcW w:type="dxa" w:w="1728"/>
          </w:tcPr>
          <w:p>
            <w:r>
              <w:t>FR-012</w:t>
            </w:r>
          </w:p>
        </w:tc>
        <w:tc>
          <w:tcPr>
            <w:tcW w:type="dxa" w:w="1728"/>
          </w:tcPr>
          <w:p>
            <w:r>
              <w:t>The system should compute risk-aware routes that trade off delay against a risk penalty heuristic.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Illustrates policy routing under non-latency constraints such as congestion or risk.</w:t>
            </w:r>
          </w:p>
        </w:tc>
        <w:tc>
          <w:tcPr>
            <w:tcW w:type="dxa" w:w="1728"/>
          </w:tcPr>
          <w:p>
            <w:r>
              <w:t>Risk-aware routing returns valid paths; hop count remains bounded relative to baseline for tested networks.</w:t>
            </w:r>
          </w:p>
        </w:tc>
      </w:tr>
    </w:tbl>
    <w:p/>
    <w:p>
      <w:pPr>
        <w:pStyle w:val="Heading2"/>
      </w:pPr>
      <w:r>
        <w:t>4.3 Security Session Layer (Prototype Scaffolding)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FR-020</w:t>
            </w:r>
          </w:p>
        </w:tc>
        <w:tc>
          <w:tcPr>
            <w:tcW w:type="dxa" w:w="1728"/>
          </w:tcPr>
          <w:p>
            <w:r>
              <w:t>The system shall provide a session abstraction that can encrypt and decrypt payloads end-to-end.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Demonstrates how security layers integrate into message paths.</w:t>
            </w:r>
          </w:p>
        </w:tc>
        <w:tc>
          <w:tcPr>
            <w:tcW w:type="dxa" w:w="1728"/>
          </w:tcPr>
          <w:p>
            <w:r>
              <w:t>A payload encrypted then decrypted via the session returns the original content.</w:t>
            </w:r>
          </w:p>
        </w:tc>
      </w:tr>
      <w:tr>
        <w:tc>
          <w:tcPr>
            <w:tcW w:type="dxa" w:w="1728"/>
          </w:tcPr>
          <w:p>
            <w:r>
              <w:t>FR-021</w:t>
            </w:r>
          </w:p>
        </w:tc>
        <w:tc>
          <w:tcPr>
            <w:tcW w:type="dxa" w:w="1728"/>
          </w:tcPr>
          <w:p>
            <w:r>
              <w:t>The system should include a QKD key generation stub with configurable key length.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Supports experimentation with key rotation and session establishment overhead (conceptual).</w:t>
            </w:r>
          </w:p>
        </w:tc>
        <w:tc>
          <w:tcPr>
            <w:tcW w:type="dxa" w:w="1728"/>
          </w:tcPr>
          <w:p>
            <w:r>
              <w:t>Key stub returns random key material of requested length and records participating endpoints.</w:t>
            </w:r>
          </w:p>
        </w:tc>
      </w:tr>
      <w:tr>
        <w:tc>
          <w:tcPr>
            <w:tcW w:type="dxa" w:w="1728"/>
          </w:tcPr>
          <w:p>
            <w:r>
              <w:t>FR-022</w:t>
            </w:r>
          </w:p>
        </w:tc>
        <w:tc>
          <w:tcPr>
            <w:tcW w:type="dxa" w:w="1728"/>
          </w:tcPr>
          <w:p>
            <w:r>
              <w:t>The system should include a PQC encryption stub interface suitable for replacement with real algorithms.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Enables future integration with standardized PQC libraries without redesigning interfaces.</w:t>
            </w:r>
          </w:p>
        </w:tc>
        <w:tc>
          <w:tcPr>
            <w:tcW w:type="dxa" w:w="1728"/>
          </w:tcPr>
          <w:p>
            <w:r>
              <w:t>PQC stub exposes encrypt/decrypt methods and is used by the session layer.</w:t>
            </w:r>
          </w:p>
        </w:tc>
      </w:tr>
    </w:tbl>
    <w:p/>
    <w:p>
      <w:pPr>
        <w:pStyle w:val="Heading2"/>
      </w:pPr>
      <w:r>
        <w:t>4.4 Trading Impact Sandbox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FR-030</w:t>
            </w:r>
          </w:p>
        </w:tc>
        <w:tc>
          <w:tcPr>
            <w:tcW w:type="dxa" w:w="1728"/>
          </w:tcPr>
          <w:p>
            <w:r>
              <w:t>The system should provide a synthetic market feed to generate price series for experiments.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Allows controlled evaluation of delay impact on execution outcomes.</w:t>
            </w:r>
          </w:p>
        </w:tc>
        <w:tc>
          <w:tcPr>
            <w:tcW w:type="dxa" w:w="1728"/>
          </w:tcPr>
          <w:p>
            <w:r>
              <w:t>Feed generates a time series with configurable steps and volatility.</w:t>
            </w:r>
          </w:p>
        </w:tc>
      </w:tr>
      <w:tr>
        <w:tc>
          <w:tcPr>
            <w:tcW w:type="dxa" w:w="1728"/>
          </w:tcPr>
          <w:p>
            <w:r>
              <w:t>FR-031</w:t>
            </w:r>
          </w:p>
        </w:tc>
        <w:tc>
          <w:tcPr>
            <w:tcW w:type="dxa" w:w="1728"/>
          </w:tcPr>
          <w:p>
            <w:r>
              <w:t>The system should simulate order execution after network delay and compute slippage metrics.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Connects network delay to measurable trading impact.</w:t>
            </w:r>
          </w:p>
        </w:tc>
        <w:tc>
          <w:tcPr>
            <w:tcW w:type="dxa" w:w="1728"/>
          </w:tcPr>
          <w:p>
            <w:r>
              <w:t>Backtest returns fill price, effective delay, and absolute/percentage slippage.</w:t>
            </w:r>
          </w:p>
        </w:tc>
      </w:tr>
    </w:tbl>
    <w:p/>
    <w:p>
      <w:pPr>
        <w:pStyle w:val="Heading2"/>
      </w:pPr>
      <w:r>
        <w:t>4.5 Dataset Generation and Machine Learning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FR-040</w:t>
            </w:r>
          </w:p>
        </w:tc>
        <w:tc>
          <w:tcPr>
            <w:tcW w:type="dxa" w:w="1728"/>
          </w:tcPr>
          <w:p>
            <w:r>
              <w:t>The system shall generate a CSV dataset containing path features and measured delay for ML training.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Supports data-driven latency prediction experiments.</w:t>
            </w:r>
          </w:p>
        </w:tc>
        <w:tc>
          <w:tcPr>
            <w:tcW w:type="dxa" w:w="1728"/>
          </w:tcPr>
          <w:p>
            <w:r>
              <w:t>Dataset generator outputs CSV with columns: hops, distance_km, delay_ms and configurable sample count.</w:t>
            </w:r>
          </w:p>
        </w:tc>
      </w:tr>
      <w:tr>
        <w:tc>
          <w:tcPr>
            <w:tcW w:type="dxa" w:w="1728"/>
          </w:tcPr>
          <w:p>
            <w:r>
              <w:t>FR-041</w:t>
            </w:r>
          </w:p>
        </w:tc>
        <w:tc>
          <w:tcPr>
            <w:tcW w:type="dxa" w:w="1728"/>
          </w:tcPr>
          <w:p>
            <w:r>
              <w:t>The ML.NET project shall load the dataset, train a regression model, report RMSE/MAE, and save a model artifact.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Provides a portable model and measurable training quality metrics.</w:t>
            </w:r>
          </w:p>
        </w:tc>
        <w:tc>
          <w:tcPr>
            <w:tcW w:type="dxa" w:w="1728"/>
          </w:tcPr>
          <w:p>
            <w:r>
              <w:t>dotnet run trains and prints metrics; model file is produced (e.g., Model.zip).</w:t>
            </w:r>
          </w:p>
        </w:tc>
      </w:tr>
    </w:tbl>
    <w:p/>
    <w:p>
      <w:pPr>
        <w:pStyle w:val="Heading2"/>
      </w:pPr>
      <w:r>
        <w:t>4.6 Reproducibility and Evidence Packaging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FR-050</w:t>
            </w:r>
          </w:p>
        </w:tc>
        <w:tc>
          <w:tcPr>
            <w:tcW w:type="dxa" w:w="1728"/>
          </w:tcPr>
          <w:p>
            <w:r>
              <w:t>The repository shall include reproducible commands and scripts to run benchmarks and generate outputs.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Ensures others can reproduce results and validate claims.</w:t>
            </w:r>
          </w:p>
        </w:tc>
        <w:tc>
          <w:tcPr>
            <w:tcW w:type="dxa" w:w="1728"/>
          </w:tcPr>
          <w:p>
            <w:r>
              <w:t>README lists commands; scripts run and produce outputs consistent with documentation.</w:t>
            </w:r>
          </w:p>
        </w:tc>
      </w:tr>
      <w:tr>
        <w:tc>
          <w:tcPr>
            <w:tcW w:type="dxa" w:w="1728"/>
          </w:tcPr>
          <w:p>
            <w:r>
              <w:t>FR-051</w:t>
            </w:r>
          </w:p>
        </w:tc>
        <w:tc>
          <w:tcPr>
            <w:tcW w:type="dxa" w:w="1728"/>
          </w:tcPr>
          <w:p>
            <w:r>
              <w:t>The repository shall include basic unit tests and a CI workflow to validate core functions.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Demonstrates software engineering maturity and correctness checks.</w:t>
            </w:r>
          </w:p>
        </w:tc>
        <w:tc>
          <w:tcPr>
            <w:tcW w:type="dxa" w:w="1728"/>
          </w:tcPr>
          <w:p>
            <w:r>
              <w:t>CI workflow executes tests on push and reports a passing status.</w:t>
            </w:r>
          </w:p>
        </w:tc>
      </w:tr>
      <w:tr>
        <w:tc>
          <w:tcPr>
            <w:tcW w:type="dxa" w:w="1728"/>
          </w:tcPr>
          <w:p>
            <w:r>
              <w:t>FR-052</w:t>
            </w:r>
          </w:p>
        </w:tc>
        <w:tc>
          <w:tcPr>
            <w:tcW w:type="dxa" w:w="1728"/>
          </w:tcPr>
          <w:p>
            <w:r>
              <w:t>The repository should include an evidence folder with exhibit index, evidence summary, and paper-to-code traceability mapping.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Supports external evaluation and USCIS exhibit packaging.</w:t>
            </w:r>
          </w:p>
        </w:tc>
        <w:tc>
          <w:tcPr>
            <w:tcW w:type="dxa" w:w="1728"/>
          </w:tcPr>
          <w:p>
            <w:r>
              <w:t>Evidence files exist and link requirements, scripts, and outputs to research contributions.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5.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NFR ID</w:t>
            </w:r>
          </w:p>
        </w:tc>
        <w:tc>
          <w:tcPr>
            <w:tcW w:type="dxa" w:w="1728"/>
          </w:tcPr>
          <w:p>
            <w:r>
              <w:t>Quality Attribute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Requirement Statement</w:t>
            </w:r>
          </w:p>
        </w:tc>
        <w:tc>
          <w:tcPr>
            <w:tcW w:type="dxa" w:w="1728"/>
          </w:tcPr>
          <w:p>
            <w:r>
              <w:t>Acceptance / Verification</w:t>
            </w:r>
          </w:p>
        </w:tc>
      </w:tr>
      <w:tr>
        <w:tc>
          <w:tcPr>
            <w:tcW w:type="dxa" w:w="1728"/>
          </w:tcPr>
          <w:p>
            <w:r>
              <w:t>NFR-001</w:t>
            </w:r>
          </w:p>
        </w:tc>
        <w:tc>
          <w:tcPr>
            <w:tcW w:type="dxa" w:w="1728"/>
          </w:tcPr>
          <w:p>
            <w:r>
              <w:t>Reproducibility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Experiments shall be runnable from documented commands with pinned dependencies.</w:t>
            </w:r>
          </w:p>
        </w:tc>
        <w:tc>
          <w:tcPr>
            <w:tcW w:type="dxa" w:w="1728"/>
          </w:tcPr>
          <w:p>
            <w:r>
              <w:t>Fresh environment can follow README and produce benchmark outputs.</w:t>
            </w:r>
          </w:p>
        </w:tc>
      </w:tr>
      <w:tr>
        <w:tc>
          <w:tcPr>
            <w:tcW w:type="dxa" w:w="1728"/>
          </w:tcPr>
          <w:p>
            <w:r>
              <w:t>NFR-002</w:t>
            </w:r>
          </w:p>
        </w:tc>
        <w:tc>
          <w:tcPr>
            <w:tcW w:type="dxa" w:w="1728"/>
          </w:tcPr>
          <w:p>
            <w:r>
              <w:t>Testability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Core functions shall be covered by unit tests; CI shall run tests automatically.</w:t>
            </w:r>
          </w:p>
        </w:tc>
        <w:tc>
          <w:tcPr>
            <w:tcW w:type="dxa" w:w="1728"/>
          </w:tcPr>
          <w:p>
            <w:r>
              <w:t>CI pipeline shows passing tests; local pytest run passes.</w:t>
            </w:r>
          </w:p>
        </w:tc>
      </w:tr>
      <w:tr>
        <w:tc>
          <w:tcPr>
            <w:tcW w:type="dxa" w:w="1728"/>
          </w:tcPr>
          <w:p>
            <w:r>
              <w:t>NFR-003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Code shall be modular with clear separation by concern (sim, routing, crypto, trading, metrics).</w:t>
            </w:r>
          </w:p>
        </w:tc>
        <w:tc>
          <w:tcPr>
            <w:tcW w:type="dxa" w:w="1728"/>
          </w:tcPr>
          <w:p>
            <w:r>
              <w:t>New routing algorithm can be added without changing unrelated modules.</w:t>
            </w:r>
          </w:p>
        </w:tc>
      </w:tr>
      <w:tr>
        <w:tc>
          <w:tcPr>
            <w:tcW w:type="dxa" w:w="1728"/>
          </w:tcPr>
          <w:p>
            <w:r>
              <w:t>NFR-004</w:t>
            </w:r>
          </w:p>
        </w:tc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Scripts shall log key parameters and summary metrics for repeatability.</w:t>
            </w:r>
          </w:p>
        </w:tc>
        <w:tc>
          <w:tcPr>
            <w:tcW w:type="dxa" w:w="1728"/>
          </w:tcPr>
          <w:p>
            <w:r>
              <w:t>Script output includes configuration and summary statistics.</w:t>
            </w:r>
          </w:p>
        </w:tc>
      </w:tr>
      <w:tr>
        <w:tc>
          <w:tcPr>
            <w:tcW w:type="dxa" w:w="1728"/>
          </w:tcPr>
          <w:p>
            <w:r>
              <w:t>NFR-005</w:t>
            </w:r>
          </w:p>
        </w:tc>
        <w:tc>
          <w:tcPr>
            <w:tcW w:type="dxa" w:w="1728"/>
          </w:tcPr>
          <w:p>
            <w:r>
              <w:t>Security Disclaimer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Cryptographic components shall explicitly state they are stubs and not production-grade security.</w:t>
            </w:r>
          </w:p>
        </w:tc>
        <w:tc>
          <w:tcPr>
            <w:tcW w:type="dxa" w:w="1728"/>
          </w:tcPr>
          <w:p>
            <w:r>
              <w:t>README and crypto modules include disclaimer text.</w:t>
            </w:r>
          </w:p>
        </w:tc>
      </w:tr>
      <w:tr>
        <w:tc>
          <w:tcPr>
            <w:tcW w:type="dxa" w:w="1728"/>
          </w:tcPr>
          <w:p>
            <w:r>
              <w:t>NFR-006</w:t>
            </w:r>
          </w:p>
        </w:tc>
        <w:tc>
          <w:tcPr>
            <w:tcW w:type="dxa" w:w="1728"/>
          </w:tcPr>
          <w:p>
            <w:r>
              <w:t>Portability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Solution shall run on common developer environments (Windows/macOS/Linux) using Python and .NET tooling.</w:t>
            </w:r>
          </w:p>
        </w:tc>
        <w:tc>
          <w:tcPr>
            <w:tcW w:type="dxa" w:w="1728"/>
          </w:tcPr>
          <w:p>
            <w:r>
              <w:t>Documented steps work on at least one standard environment; build/run instructions are platform-aware.</w:t>
            </w:r>
          </w:p>
        </w:tc>
      </w:tr>
    </w:tbl>
    <w:p>
      <w:r>
        <w:br w:type="page"/>
      </w:r>
    </w:p>
    <w:p>
      <w:pPr>
        <w:pStyle w:val="Heading1"/>
      </w:pPr>
      <w:r>
        <w:t>6. Traceability and Verification Approach</w:t>
      </w:r>
    </w:p>
    <w:p>
      <w:r>
        <w:t>Verification is performed via a combination of unit tests, reproducible scripts, and documented outputs. High-level requirements map to code modules and runnable scripts. A separate paper-to-code mapping document may be maintained to tie scientific contributions to implementation artifacts.</w:t>
      </w:r>
    </w:p>
    <w:p>
      <w:pPr>
        <w:pStyle w:val="Heading2"/>
      </w:pPr>
      <w:r>
        <w:t>6.1 Verification Methods</w:t>
      </w:r>
    </w:p>
    <w:p>
      <w:pPr>
        <w:pStyle w:val="ListBullet"/>
      </w:pPr>
      <w:r>
        <w:t>Inspection: review documentation, code structure, and configurations.</w:t>
      </w:r>
    </w:p>
    <w:p>
      <w:pPr>
        <w:pStyle w:val="ListBullet"/>
      </w:pPr>
      <w:r>
        <w:t>Test: run unit tests validating deterministic functions.</w:t>
      </w:r>
    </w:p>
    <w:p>
      <w:pPr>
        <w:pStyle w:val="ListBullet"/>
      </w:pPr>
      <w:r>
        <w:t>Demonstration: execute benchmark scripts and record outputs.</w:t>
      </w:r>
    </w:p>
    <w:p>
      <w:pPr>
        <w:pStyle w:val="ListBullet"/>
      </w:pPr>
      <w:r>
        <w:t>Analysis: compute summary statistics and compare baselines.</w:t>
      </w:r>
    </w:p>
    <w:p>
      <w:pPr>
        <w:pStyle w:val="Heading2"/>
      </w:pPr>
      <w:r>
        <w:t>6.2 Traceability Matrix (High Level)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Module(s)</w:t>
            </w:r>
          </w:p>
        </w:tc>
        <w:tc>
          <w:tcPr>
            <w:tcW w:type="dxa" w:w="2160"/>
          </w:tcPr>
          <w:p>
            <w:r>
              <w:t>Script/Test</w:t>
            </w:r>
          </w:p>
        </w:tc>
        <w:tc>
          <w:tcPr>
            <w:tcW w:type="dxa" w:w="2160"/>
          </w:tcPr>
          <w:p>
            <w:r>
              <w:t>Evidence Output</w:t>
            </w:r>
          </w:p>
        </w:tc>
      </w:tr>
      <w:tr>
        <w:tc>
          <w:tcPr>
            <w:tcW w:type="dxa" w:w="2160"/>
          </w:tcPr>
          <w:p>
            <w:r>
              <w:t>FR-001..003</w:t>
            </w:r>
          </w:p>
        </w:tc>
        <w:tc>
          <w:tcPr>
            <w:tcW w:type="dxa" w:w="2160"/>
          </w:tcPr>
          <w:p>
            <w:r>
              <w:t>leoq.sim.*</w:t>
            </w:r>
          </w:p>
        </w:tc>
        <w:tc>
          <w:tcPr>
            <w:tcW w:type="dxa" w:w="2160"/>
          </w:tcPr>
          <w:p>
            <w:r>
              <w:t>scripts/run_latency_bench.py</w:t>
            </w:r>
          </w:p>
        </w:tc>
        <w:tc>
          <w:tcPr>
            <w:tcW w:type="dxa" w:w="2160"/>
          </w:tcPr>
          <w:p>
            <w:r>
              <w:t>Benchmark console output, plots (optional)</w:t>
            </w:r>
          </w:p>
        </w:tc>
      </w:tr>
      <w:tr>
        <w:tc>
          <w:tcPr>
            <w:tcW w:type="dxa" w:w="2160"/>
          </w:tcPr>
          <w:p>
            <w:r>
              <w:t>FR-010..012</w:t>
            </w:r>
          </w:p>
        </w:tc>
        <w:tc>
          <w:tcPr>
            <w:tcW w:type="dxa" w:w="2160"/>
          </w:tcPr>
          <w:p>
            <w:r>
              <w:t>leoq.routing.*</w:t>
            </w:r>
          </w:p>
        </w:tc>
        <w:tc>
          <w:tcPr>
            <w:tcW w:type="dxa" w:w="2160"/>
          </w:tcPr>
          <w:p>
            <w:r>
              <w:t>scripts/run_routing_eval.py; tests/test_routing.py</w:t>
            </w:r>
          </w:p>
        </w:tc>
        <w:tc>
          <w:tcPr>
            <w:tcW w:type="dxa" w:w="2160"/>
          </w:tcPr>
          <w:p>
            <w:r>
              <w:t>Avg/max delay comparison; CI test result</w:t>
            </w:r>
          </w:p>
        </w:tc>
      </w:tr>
      <w:tr>
        <w:tc>
          <w:tcPr>
            <w:tcW w:type="dxa" w:w="2160"/>
          </w:tcPr>
          <w:p>
            <w:r>
              <w:t>FR-020..022</w:t>
            </w:r>
          </w:p>
        </w:tc>
        <w:tc>
          <w:tcPr>
            <w:tcW w:type="dxa" w:w="2160"/>
          </w:tcPr>
          <w:p>
            <w:r>
              <w:t>leoq.crypto.*</w:t>
            </w:r>
          </w:p>
        </w:tc>
        <w:tc>
          <w:tcPr>
            <w:tcW w:type="dxa" w:w="2160"/>
          </w:tcPr>
          <w:p>
            <w:r>
              <w:t>Unit demo in README or simple script</w:t>
            </w:r>
          </w:p>
        </w:tc>
        <w:tc>
          <w:tcPr>
            <w:tcW w:type="dxa" w:w="2160"/>
          </w:tcPr>
          <w:p>
            <w:r>
              <w:t>Encrypt/decrypt demo output</w:t>
            </w:r>
          </w:p>
        </w:tc>
      </w:tr>
      <w:tr>
        <w:tc>
          <w:tcPr>
            <w:tcW w:type="dxa" w:w="2160"/>
          </w:tcPr>
          <w:p>
            <w:r>
              <w:t>FR-030..031</w:t>
            </w:r>
          </w:p>
        </w:tc>
        <w:tc>
          <w:tcPr>
            <w:tcW w:type="dxa" w:w="2160"/>
          </w:tcPr>
          <w:p>
            <w:r>
              <w:t>leoq.trading.*; leoq.metrics.slippage</w:t>
            </w:r>
          </w:p>
        </w:tc>
        <w:tc>
          <w:tcPr>
            <w:tcW w:type="dxa" w:w="2160"/>
          </w:tcPr>
          <w:p>
            <w:r>
              <w:t>Backtest demo script/notebook</w:t>
            </w:r>
          </w:p>
        </w:tc>
        <w:tc>
          <w:tcPr>
            <w:tcW w:type="dxa" w:w="2160"/>
          </w:tcPr>
          <w:p>
            <w:r>
              <w:t>Slippage summary</w:t>
            </w:r>
          </w:p>
        </w:tc>
      </w:tr>
      <w:tr>
        <w:tc>
          <w:tcPr>
            <w:tcW w:type="dxa" w:w="2160"/>
          </w:tcPr>
          <w:p>
            <w:r>
              <w:t>FR-040..041</w:t>
            </w:r>
          </w:p>
        </w:tc>
        <w:tc>
          <w:tcPr>
            <w:tcW w:type="dxa" w:w="2160"/>
          </w:tcPr>
          <w:p>
            <w:r>
              <w:t>scripts/generate_dataset.py; ML.NET Program.cs</w:t>
            </w:r>
          </w:p>
        </w:tc>
        <w:tc>
          <w:tcPr>
            <w:tcW w:type="dxa" w:w="2160"/>
          </w:tcPr>
          <w:p>
            <w:r>
              <w:t>dotnet run</w:t>
            </w:r>
          </w:p>
        </w:tc>
        <w:tc>
          <w:tcPr>
            <w:tcW w:type="dxa" w:w="2160"/>
          </w:tcPr>
          <w:p>
            <w:r>
              <w:t>RMSE/MAE output; model artifact</w:t>
            </w:r>
          </w:p>
        </w:tc>
      </w:tr>
    </w:tbl>
    <w:p>
      <w:r>
        <w:br w:type="page"/>
      </w:r>
    </w:p>
    <w:p>
      <w:pPr>
        <w:pStyle w:val="Heading1"/>
      </w:pPr>
      <w:r>
        <w:t>7. Assumptions, Constraints, and Risks</w:t>
      </w:r>
    </w:p>
    <w:p>
      <w:pPr>
        <w:pStyle w:val="Heading2"/>
      </w:pPr>
      <w:r>
        <w:t>7.1 Assumptions</w:t>
      </w:r>
    </w:p>
    <w:p>
      <w:pPr>
        <w:pStyle w:val="ListBullet"/>
      </w:pPr>
      <w:r>
        <w:t>Topology is static for current version; link properties are synthetic.</w:t>
      </w:r>
    </w:p>
    <w:p>
      <w:pPr>
        <w:pStyle w:val="ListBullet"/>
      </w:pPr>
      <w:r>
        <w:t>Crypto components are placeholders intended for interface demonstration.</w:t>
      </w:r>
    </w:p>
    <w:p>
      <w:pPr>
        <w:pStyle w:val="ListBullet"/>
      </w:pPr>
      <w:r>
        <w:t>Trading sandbox uses synthetic prices; conclusions are directional, not predictive.</w:t>
      </w:r>
    </w:p>
    <w:p>
      <w:pPr>
        <w:pStyle w:val="Heading2"/>
      </w:pPr>
      <w:r>
        <w:t>7.2 Constraints</w:t>
      </w:r>
    </w:p>
    <w:p>
      <w:pPr>
        <w:pStyle w:val="ListBullet"/>
      </w:pPr>
      <w:r>
        <w:t>Prototype focuses on clarity and reproducibility rather than production performance.</w:t>
      </w:r>
    </w:p>
    <w:p>
      <w:pPr>
        <w:pStyle w:val="ListBullet"/>
      </w:pPr>
      <w:r>
        <w:t>No external data sources are required to run baseline experiments.</w:t>
      </w:r>
    </w:p>
    <w:p>
      <w:pPr>
        <w:pStyle w:val="Heading2"/>
      </w:pPr>
      <w:r>
        <w:t>7.3 Key Risks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Prototype misinterpreted as production-ready security</w:t>
            </w:r>
          </w:p>
        </w:tc>
        <w:tc>
          <w:tcPr>
            <w:tcW w:type="dxa" w:w="2880"/>
          </w:tcPr>
          <w:p>
            <w:r>
              <w:t>Misuse or incorrect assumptions by readers</w:t>
            </w:r>
          </w:p>
        </w:tc>
        <w:tc>
          <w:tcPr>
            <w:tcW w:type="dxa" w:w="2880"/>
          </w:tcPr>
          <w:p>
            <w:r>
              <w:t>Prominent disclaimers and clear 'out of scope' notes.</w:t>
            </w:r>
          </w:p>
        </w:tc>
      </w:tr>
      <w:tr>
        <w:tc>
          <w:tcPr>
            <w:tcW w:type="dxa" w:w="2880"/>
          </w:tcPr>
          <w:p>
            <w:r>
              <w:t>Name disambiguation across online profiles</w:t>
            </w:r>
          </w:p>
        </w:tc>
        <w:tc>
          <w:tcPr>
            <w:tcW w:type="dxa" w:w="2880"/>
          </w:tcPr>
          <w:p>
            <w:r>
              <w:t>Attribution confusion</w:t>
            </w:r>
          </w:p>
        </w:tc>
        <w:tc>
          <w:tcPr>
            <w:tcW w:type="dxa" w:w="2880"/>
          </w:tcPr>
          <w:p>
            <w:r>
              <w:t>Use consistent full name + ORCID + Scholar links in repo and website.</w:t>
            </w:r>
          </w:p>
        </w:tc>
      </w:tr>
      <w:tr>
        <w:tc>
          <w:tcPr>
            <w:tcW w:type="dxa" w:w="2880"/>
          </w:tcPr>
          <w:p>
            <w:r>
              <w:t>Over-claiming performance without reproducibility</w:t>
            </w:r>
          </w:p>
        </w:tc>
        <w:tc>
          <w:tcPr>
            <w:tcW w:type="dxa" w:w="2880"/>
          </w:tcPr>
          <w:p>
            <w:r>
              <w:t>Reduced credibility</w:t>
            </w:r>
          </w:p>
        </w:tc>
        <w:tc>
          <w:tcPr>
            <w:tcW w:type="dxa" w:w="2880"/>
          </w:tcPr>
          <w:p>
            <w:r>
              <w:t>Publish scripts, parameter logs, and CI tests; provide sample outputs.</w:t>
            </w:r>
          </w:p>
        </w:tc>
      </w:tr>
    </w:tbl>
    <w:p>
      <w:r>
        <w:br w:type="page"/>
      </w:r>
    </w:p>
    <w:p>
      <w:pPr>
        <w:pStyle w:val="Heading1"/>
      </w:pPr>
      <w:r>
        <w:t>8. Appendix</w:t>
      </w:r>
    </w:p>
    <w:p>
      <w:pPr>
        <w:pStyle w:val="Heading2"/>
      </w:pPr>
      <w:r>
        <w:t>8.1 Repository Layout (Reference)</w:t>
      </w:r>
    </w:p>
    <w:p>
      <w:r>
        <w:t>The reference implementation is organized into Python and ML.NET components with supporting documentation and evidence artifacts.</w:t>
      </w:r>
    </w:p>
    <w:p>
      <w:pPr>
        <w:pStyle w:val="ListBullet"/>
      </w:pPr>
      <w:r>
        <w:t>python/src/leoq: simulator modules</w:t>
      </w:r>
    </w:p>
    <w:p>
      <w:pPr>
        <w:pStyle w:val="ListBullet"/>
      </w:pPr>
      <w:r>
        <w:t>python/scripts: runnable benchmarks and dataset generator</w:t>
      </w:r>
    </w:p>
    <w:p>
      <w:pPr>
        <w:pStyle w:val="ListBullet"/>
      </w:pPr>
      <w:r>
        <w:t>python/tests: unit tests</w:t>
      </w:r>
    </w:p>
    <w:p>
      <w:pPr>
        <w:pStyle w:val="ListBullet"/>
      </w:pPr>
      <w:r>
        <w:t>mlnet: ML.NET training pipeline</w:t>
      </w:r>
    </w:p>
    <w:p>
      <w:pPr>
        <w:pStyle w:val="Heading2"/>
      </w:pPr>
      <w:r>
        <w:t>8.2 Compliance Note</w:t>
      </w:r>
    </w:p>
    <w:p>
      <w:r>
        <w:t>This document is a high-level requirements specification for a research prototype. It does not constitute an operational risk assessment, production security design, or regulatory compliance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LEO-Q High-Level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