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44"/>
                <w:szCs w:val="44"/>
              </w:rPr>
              <w:t xml:space="preserve">PHANINDRA GADDAM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Power BI Architect  ·  Microsoft Fabric  ·  Databricks Lakehouse  ·  Enterprise BI Strategy &amp; Governance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Wayne, NJ  ·  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+1-907-351-7666  ·  </w:t>
            </w:r>
            <w:hyperlink w:history="1" r:id="rIdqazfp6suli0dbm1qwlxom">
              <w:r>
                <w:rPr>
                  <w:rFonts w:ascii="Calibri" w:cs="Calibri" w:eastAsia="Calibri" w:hAnsi="Calibri"/>
                  <w:color w:val="2E75B6"/>
                  <w:sz w:val="20"/>
                  <w:szCs w:val="20"/>
                  <w:u w:val="single"/>
                </w:rPr>
                <w:t xml:space="preserve">Phani.g19@gmail.com</w:t>
              </w:r>
            </w:hyperlink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·  </w:t>
            </w:r>
            <w:hyperlink w:history="1" r:id="rIdqnvrltcupi6x88t6tc3zc">
              <w:r>
                <w:rPr>
                  <w:rFonts w:ascii="Calibri" w:cs="Calibri" w:eastAsia="Calibri" w:hAnsi="Calibri"/>
                  <w:color w:val="2E75B6"/>
                  <w:sz w:val="20"/>
                  <w:szCs w:val="20"/>
                  <w:u w:val="single"/>
                </w:rPr>
                <w:t xml:space="preserve">LinkedIn</w:t>
              </w:r>
            </w:hyperlink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·  </w:t>
            </w:r>
            <w:hyperlink w:history="1" r:id="rIdu4-jfjvzlh12rfhsaocn-">
              <w:r>
                <w:rPr>
                  <w:rFonts w:ascii="Calibri" w:cs="Calibri" w:eastAsia="Calibri" w:hAnsi="Calibri"/>
                  <w:color w:val="2E75B6"/>
                  <w:sz w:val="20"/>
                  <w:szCs w:val="20"/>
                  <w:u w:val="single"/>
                </w:rPr>
                <w:t xml:space="preserve">Portfolio: phang7.github.io/Portfolio</w:t>
              </w:r>
            </w:hyperlink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0"/>
              <w:right w:type="dxa" w:w="0"/>
            </w:tcMar>
            <w:vAlign w:val="center"/>
          </w:tcPr>
          <w:tbl>
            <w:tblPr>
              <w:tblW w:type="dxa" w:w="2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360"/>
            </w:tblGrid>
            <w:tr>
              <w:tc>
                <w:tcPr>
                  <w:tcW w:type="dxa" w:w="2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F4FB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6"/>
                      <w:szCs w:val="26"/>
                    </w:rPr>
                    <w:t xml:space="preserve">13+</w:t>
                  </w:r>
                  <w:r>
                    <w:rPr>
                      <w:rFonts w:ascii="Calibri" w:cs="Calibri" w:eastAsia="Calibri" w:hAnsi="Calibri"/>
                      <w:color w:val="616161"/>
                      <w:sz w:val="17"/>
                      <w:szCs w:val="17"/>
                    </w:rPr>
                    <w:t xml:space="preserve">  Years Experience</w:t>
                  </w:r>
                </w:p>
              </w:tc>
            </w:tr>
            <w:tr>
              <w:tc>
                <w:tcPr>
                  <w:tcW w:type="dxa" w:w="2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F4FB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6"/>
                      <w:szCs w:val="26"/>
                    </w:rPr>
                    <w:t xml:space="preserve">200+</w:t>
                  </w:r>
                  <w:r>
                    <w:rPr>
                      <w:rFonts w:ascii="Calibri" w:cs="Calibri" w:eastAsia="Calibri" w:hAnsi="Calibri"/>
                      <w:color w:val="616161"/>
                      <w:sz w:val="17"/>
                      <w:szCs w:val="17"/>
                    </w:rPr>
                    <w:t xml:space="preserve">  Users Trained</w:t>
                  </w:r>
                </w:p>
              </w:tc>
            </w:tr>
            <w:tr>
              <w:tc>
                <w:tcPr>
                  <w:tcW w:type="dxa" w:w="2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F4FB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6"/>
                      <w:szCs w:val="26"/>
                    </w:rPr>
                    <w:t xml:space="preserve">100+</w:t>
                  </w:r>
                  <w:r>
                    <w:rPr>
                      <w:rFonts w:ascii="Calibri" w:cs="Calibri" w:eastAsia="Calibri" w:hAnsi="Calibri"/>
                      <w:color w:val="616161"/>
                      <w:sz w:val="17"/>
                      <w:szCs w:val="17"/>
                    </w:rPr>
                    <w:t xml:space="preserve">  Workspaces Governed</w:t>
                  </w:r>
                </w:p>
              </w:tc>
            </w:tr>
            <w:tr>
              <w:tc>
                <w:tcPr>
                  <w:tcW w:type="dxa" w:w="2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F4FB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6"/>
                      <w:szCs w:val="26"/>
                    </w:rPr>
                    <w:t xml:space="preserve">4</w:t>
                  </w:r>
                  <w:r>
                    <w:rPr>
                      <w:rFonts w:ascii="Calibri" w:cs="Calibri" w:eastAsia="Calibri" w:hAnsi="Calibri"/>
                      <w:color w:val="616161"/>
                      <w:sz w:val="17"/>
                      <w:szCs w:val="17"/>
                    </w:rPr>
                    <w:t xml:space="preserve">  Industries</w:t>
                  </w:r>
                </w:p>
              </w:tc>
            </w:tr>
          </w:tbl>
          <w:p/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20"/>
                <w:szCs w:val="20"/>
              </w:rPr>
              <w:t xml:space="preserve">PROFESSIONAL SUMMARY</w:t>
            </w:r>
          </w:p>
        </w:tc>
      </w:tr>
    </w:tbl>
    <w:p>
      <w:pPr>
        <w:spacing w:after="0" w:before="50"/>
      </w:pPr>
    </w:p>
    <w:p>
      <w:pPr>
        <w:spacing w:after="50" w:before="5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Enterprise Power BI Architect with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13+ years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of experience designing, optimising, and governing large-scale BI ecosystems across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Life Sciences, Healthcare, Oil &amp; Gas,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Ecommerce.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Expert in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Microsoft Fabric, Databricks Lakehouse, OneLake, Medallion architecture,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and hybrid architectures (Snowflake, Denodo, SQL). Recently drove the migration from Denodo to Databricks, modernising data pipelines and enabling high-performance Delta-based semantic models with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Direct Lake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connectivity. Known for solving complex performance issues, designing persona-based BI architectures, and ensuring reliability for executive-critical reporting.</w:t>
      </w:r>
    </w:p>
    <w:p>
      <w:pPr>
        <w:spacing w:after="60" w:before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Active contributor to the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Microsoft Fabric open-source community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— published a comprehensive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FUAM (Fabric Unified Admin Monitoring)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enterprise deployment guide on GitHub (</w:t>
      </w:r>
      <w:hyperlink w:history="1" r:id="rIdzoghtpbr78-lfa7j3ehgd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github.com/phang7/Portfolio</w:t>
        </w:r>
      </w:hyperlink>
      <w:r>
        <w:rPr>
          <w:rFonts w:ascii="Calibri" w:cs="Calibri" w:eastAsia="Calibri" w:hAnsi="Calibri"/>
          <w:color w:val="212121"/>
          <w:sz w:val="20"/>
          <w:szCs w:val="20"/>
        </w:rPr>
        <w:t xml:space="preserve">). Author of a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LinkedIn thought leadership series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on Fabric architecture, governance, and performance optimisation. Portfolio: </w:t>
      </w:r>
      <w:hyperlink w:history="1" r:id="rIdqacjbw22rh1rat2qd1rhv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phang7.github.io/Portfolio</w:t>
        </w:r>
      </w:hyperlink>
      <w:r>
        <w:rPr>
          <w:rFonts w:ascii="Calibri" w:cs="Calibri" w:eastAsia="Calibri" w:hAnsi="Calibri"/>
          <w:color w:val="212121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20"/>
                <w:szCs w:val="20"/>
              </w:rPr>
              <w:t xml:space="preserve">CORE ARCHITECTURE SKILLS</w:t>
            </w:r>
          </w:p>
        </w:tc>
      </w:tr>
    </w:tbl>
    <w:p>
      <w:pPr>
        <w:spacing w:after="0" w:before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4FB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Fabric &amp; Power BI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Microsoft Fabric · Power BI Architecture · OneLake · Direct Lake · Import · Live Connect · Semantic Models · Large Models · Incremental Refresh · Capacity Planning · Deployment Pipelines</w:t>
            </w:r>
          </w:p>
        </w:tc>
      </w:tr>
    </w:tbl>
    <w:p>
      <w:pPr>
        <w:spacing w:after="0" w:before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4FB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Data Platforms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Databricks Lakehouse · Delta Lake · Unity Catalog · Medallion Architecture · Snowflake · Denodo · Azure Data Factory · SQL Server · Oracle · PostgreSQL</w:t>
            </w:r>
          </w:p>
        </w:tc>
      </w:tr>
    </w:tbl>
    <w:p>
      <w:pPr>
        <w:spacing w:after="0" w:before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4FB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Governance &amp; Security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Tenant Administration · Workspace Design · RLS / OLS · Service Principals · CI/CD Pipelines · Gateway Architecture · Lifecycle Management · Access Controls · Data Governance Frameworks</w:t>
            </w:r>
          </w:p>
        </w:tc>
      </w:tr>
    </w:tbl>
    <w:p>
      <w:pPr>
        <w:spacing w:after="0" w:before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4FB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SAP BO Architecture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SAP BusinessObjects XI 3.1 · BI 4.0 / 4.2 · CMC (Central Management Console) · LCM (Lifecycle Manager) · IDT (Information Design Tool) · Universe Design · AD / LDAP Integration · Security Architecture · Upgrade Programs (3.x → 4.2)</w:t>
            </w:r>
          </w:p>
        </w:tc>
      </w:tr>
    </w:tbl>
    <w:p>
      <w:pPr>
        <w:spacing w:after="0" w:before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4FB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Languages &amp; Tools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DAX · M Query · SQL · PowerShell · Bash · REST APIs · Python · VS Code · Postman · Git</w:t>
            </w:r>
          </w:p>
        </w:tc>
      </w:tr>
    </w:tbl>
    <w:p>
      <w:pPr>
        <w:spacing w:after="0" w:before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4FB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Strategy &amp; Advisory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SCQA Storytelling · Executive Communication · Roadmap Creation · Persona-Based BI Design · Stakeholder Advisory · AI &amp; Copilot Enablement · Thought Leadership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20"/>
                <w:szCs w:val="20"/>
              </w:rPr>
              <w:t xml:space="preserve">PROFESSIONAL EXPERIENCE</w:t>
            </w:r>
          </w:p>
        </w:tc>
      </w:tr>
    </w:tbl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Tata Consultancy Services  |  Client: Becton Dickinson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20"/>
                <w:szCs w:val="20"/>
              </w:rPr>
              <w:t xml:space="preserve">Jan 2022 – Present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695C"/>
                <w:sz w:val="20"/>
                <w:szCs w:val="20"/>
              </w:rPr>
              <w:t xml:space="preserve">Power BI Architect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616161"/>
                <w:sz w:val="19"/>
                <w:szCs w:val="19"/>
              </w:rPr>
              <w:t xml:space="preserve">New Jersey, USA · Life Sciences</w:t>
            </w:r>
          </w:p>
        </w:tc>
      </w:tr>
    </w:tbl>
    <w:p>
      <w:pPr>
        <w:spacing w:after="0" w:before="40"/>
      </w:pP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Enterprise BI Platform Ownership &amp; Modernisation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Led end-to-end Power BI enterprise platform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implementation — tenant setup, governance, security, workspace strategy, and enterprise standards from the ground up across a Fortune 500 Life Sciences organisation.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Directed migration of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MicroStrategy and Qlik portfolios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to Power BI, redesigning reporting architecture for scalability, performance, and executive-grade reliability across Finance, Supply Chain, Quality, and Commercial.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Built a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unified enterprise semantic layer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supporting cross-functional analytics — reducing report duplication by standardising on a single governed data model with persona-based access layers.</w:t>
      </w:r>
    </w:p>
    <w:p>
      <w:pPr>
        <w:spacing w:after="0" w:before="40"/>
      </w:pP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Hybrid Architecture &amp; Data Platform Transformation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Drove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Denodo → Azure Databricks migration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, collaborating with data engineering to redesign ingestion pipelines,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Medallion architecture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(Bronze / Silver / Gold), Delta Lake structures, and Lakehouse modelling standards on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OneLake / Microsoft Fabric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Established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Databricks + Power BI + Fabric integration patterns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including SQL endpoints, Delta optimisation, and capacity-aware refresh strategies — reducing average semantic model refresh time by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~55%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Designed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Direct Lake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-mode semantic models aligned to Fabric Lakehouse Gold layer, enabling sub-second executive dashboard performance at scale.</w:t>
      </w:r>
    </w:p>
    <w:p>
      <w:pPr>
        <w:spacing w:after="0" w:before="40"/>
      </w:pP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Governance, Security &amp; Tenant Administration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Owned tenant-level administration for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100+ workspaces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— capacity planning, workspace governance, service principals, deployment pipelines, naming conventions, lifecycle management, and enterprise security policies.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Designed and managed gateway clusters, high-availability configurations, and automated monitoring for mission-critical refresh workloads — achieving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zero unplanned executive dashboard outages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for 12 consecutive months.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Implemented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RLS/OLS, workspace segmentation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, and governance frameworks that the organisation continues to use as its standard today.</w:t>
      </w:r>
    </w:p>
    <w:p>
      <w:pPr>
        <w:spacing w:after="0" w:before="40"/>
      </w:pP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Automation &amp; Platform Engineering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Built automation solutions using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PowerShell, REST APIs, service principals, and CI/CD pipelines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to streamline workspace provisioning, dataset refresh orchestration, and governance compliance checking.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Deployed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FUAM (Fabric Unified Admin Monitoring)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— an open-source Fabric tenant monitoring solution — and published a comprehensive enterprise deployment guide on GitHub as a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community contribution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. Guide available at: </w:t>
      </w:r>
      <w:hyperlink w:history="1" r:id="rId5slhy2htpm4uge3xqyf4i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github.com/phang7/Portfolio</w:t>
        </w:r>
      </w:hyperlink>
      <w:r>
        <w:rPr>
          <w:rFonts w:ascii="Calibri" w:cs="Calibri" w:eastAsia="Calibri" w:hAnsi="Calibri"/>
          <w:color w:val="21212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Developed reusable admin scripts, monitoring dashboards, and automation templates that reduced manual overhead and improved platform reliability across the estate.</w:t>
      </w:r>
    </w:p>
    <w:p>
      <w:pPr>
        <w:spacing w:after="0" w:before="40"/>
      </w:pP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Performance Optimisation &amp; Executive Reporting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Designed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persona-based BI architecture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— separating executive dashboards (Import, pre-aggregated, &lt;2s load), operational analytics (Direct Lake), and self-service layers (Lakehouse SQL endpoint) to eliminate workload contention.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Eliminated throttling and performance bottlenecks through semantic model tuning, incremental refresh redesign, caching strategies, and capacity-aware design —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reducing average refresh times by ~55% and CU consumption by ~40%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at peak periods.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Ensured zero-downtime reliability for executive-critical reporting through pre-staging, materialised views, dedicated capacity tiering, and optimised refresh orchestration.</w:t>
      </w:r>
    </w:p>
    <w:p>
      <w:pPr>
        <w:spacing w:after="0" w:before="40"/>
      </w:pP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Cross-Functional Leadership &amp; Thought Leadership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Served as primary BI advisor to IT leadership — guiding Fabric adoption, capacity planning, governance, and modernisation strategy across the enterprise.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Trained 200+ analysts and business users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on Power BI, Microsoft Fabric, Databricks, and self-service best practices.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Publishing a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LinkedIn thought leadership series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on enterprise Fabric architecture, governance frameworks, performance optimisation, and Direct Lake strategy — portfolio at </w:t>
      </w:r>
      <w:hyperlink w:history="1" r:id="rIdzqc9nyqd8id-kbxhg2eqa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phang7.github.io/Portfolio</w:t>
        </w:r>
      </w:hyperlink>
      <w:r>
        <w:rPr>
          <w:rFonts w:ascii="Calibri" w:cs="Calibri" w:eastAsia="Calibri" w:hAnsi="Calibri"/>
          <w:color w:val="212121"/>
          <w:sz w:val="20"/>
          <w:szCs w:val="20"/>
        </w:rPr>
        <w:t xml:space="preserve">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Wipro Technologies  |  Client: HP Inc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20"/>
                <w:szCs w:val="20"/>
              </w:rPr>
              <w:t xml:space="preserve">Aug 2021 – Jan 2022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695C"/>
                <w:sz w:val="20"/>
                <w:szCs w:val="20"/>
              </w:rPr>
              <w:t xml:space="preserve">Senior Power BI Consultant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616161"/>
                <w:sz w:val="19"/>
                <w:szCs w:val="19"/>
              </w:rPr>
              <w:t xml:space="preserve">Texas, USA · Technology</w:t>
            </w:r>
          </w:p>
        </w:tc>
      </w:tr>
    </w:tbl>
    <w:p>
      <w:pPr>
        <w:spacing w:after="0" w:before="40"/>
      </w:pP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Modernised legacy BI platform by designing Power BI semantic models with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advanced DAX, time intelligence measures, and KPI frameworks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for executive and operational reporting.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Created scalable dashboards supporting strategic decision-making across multiple business units. Led UAT cycles, iterative refinements, and stakeholder alignment.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Wipro Technologies  |  Client: Alyeska Pipeline Services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20"/>
                <w:szCs w:val="20"/>
              </w:rPr>
              <w:t xml:space="preserve">Mar 2018 – Aug 2021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695C"/>
                <w:sz w:val="20"/>
                <w:szCs w:val="20"/>
              </w:rPr>
              <w:t xml:space="preserve">Senior BO BI Developer / Power BI Support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616161"/>
                <w:sz w:val="19"/>
                <w:szCs w:val="19"/>
              </w:rPr>
              <w:t xml:space="preserve">Alaska, USA · Oil &amp; Gas</w:t>
            </w:r>
          </w:p>
        </w:tc>
      </w:tr>
    </w:tbl>
    <w:p>
      <w:pPr>
        <w:spacing w:after="0" w:before="40"/>
      </w:pP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Led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SAP BusinessObjects BI 3.1 → 4.2 upgrade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— full platform migration including CMC security redesign, LCM lifecycle configuration, IDT universe migration, and AD/LDAP integration for enterprise SSO.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Delivered Power BI training programme and migrated WebI reports to Power BI dashboards for operational teams.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Automated SLA compliance dashboards using SCCM data; administered Power BI servers and supported enterprise BI operations across a 3-year engagement.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Wipro Technologies  |  Allergan · HCA Healthcare · Saudi Aramco · National Grid · British Petroleum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20"/>
                <w:szCs w:val="20"/>
              </w:rPr>
              <w:t xml:space="preserve">2012 – 2018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695C"/>
                <w:sz w:val="20"/>
                <w:szCs w:val="20"/>
              </w:rPr>
              <w:t xml:space="preserve">BI Developer / SAP BO Architect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616161"/>
                <w:sz w:val="19"/>
                <w:szCs w:val="19"/>
              </w:rPr>
              <w:t xml:space="preserve">Multiple Locations · Healthcare · Energy · Utilities</w:t>
            </w:r>
          </w:p>
        </w:tc>
      </w:tr>
    </w:tbl>
    <w:p>
      <w:pPr>
        <w:spacing w:after="0" w:before="40"/>
      </w:pP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Led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SAP BusinessObjects XI 3.1 → BI 4.x upgrade programs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for major enterprises across pharmaceutical, healthcare, and energy sectors — universe design, security migration, WebI and Xcelsius dashboard development.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Designed CMC-based security architectures, LCM promotion workflows, and IDT multi-source universe frameworks across 5 enterprise clients over 6 years.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Managed offshore delivery teams, UAT cycles, and enterprise reporting transitions to Power BI for multiple clients.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20"/>
                <w:szCs w:val="20"/>
              </w:rPr>
              <w:t xml:space="preserve">COMMUNITY CONTRIBUTIONS &amp; THOUGHT LEADERSHIP</w:t>
            </w:r>
          </w:p>
        </w:tc>
      </w:tr>
    </w:tbl>
    <w:p>
      <w:pPr>
        <w:spacing w:after="0" w:before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1"/>
              <w:bottom w:val="none" w:color="FFFFFF" w:sz="0"/>
              <w:right w:val="none" w:color="FFFFFF" w:sz="0"/>
            </w:tcBorders>
            <w:shd w:fill="E8F4FB" w:val="clear"/>
            <w:tcMar>
              <w:top w:type="dxa" w:w="100"/>
              <w:left w:type="dxa" w:w="240"/>
              <w:bottom w:type="dxa" w:w="100"/>
              <w:right w:type="dxa" w:w="20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FUAM Enterprise Deployment Guide</w:t>
            </w:r>
            <w:r>
              <w:rPr>
                <w:rFonts w:ascii="Calibri" w:cs="Calibri" w:eastAsia="Calibri" w:hAnsi="Calibri"/>
                <w:color w:val="616161"/>
                <w:sz w:val="20"/>
                <w:szCs w:val="20"/>
              </w:rPr>
              <w:t xml:space="preserve">  ·  Open Source Community Contribution  ·  </w:t>
            </w:r>
            <w:hyperlink w:history="1" r:id="rIdiigs9wvmcicmdwfr73xkl">
              <w:r>
                <w:rPr>
                  <w:rFonts w:ascii="Calibri" w:cs="Calibri" w:eastAsia="Calibri" w:hAnsi="Calibri"/>
                  <w:color w:val="2E75B6"/>
                  <w:sz w:val="20"/>
                  <w:szCs w:val="20"/>
                  <w:u w:val="single"/>
                </w:rPr>
                <w:t xml:space="preserve">github.com/phang7/Portfolio</w:t>
              </w:r>
            </w:hyperlink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Authored and published a comprehensive enterprise deployment guide for FUAM (Fabric Unified Admin Monitoring) — an open-source Microsoft Fabric tenant monitoring solution. The guide covers Service Principal setup, pipeline orchestration, Azure Key Vault integration, governance configuration, and scheduling. Publicly available on GitHub.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0695C" w:sz="1"/>
              <w:bottom w:val="none" w:color="FFFFFF" w:sz="0"/>
              <w:right w:val="none" w:color="FFFFFF" w:sz="0"/>
            </w:tcBorders>
            <w:shd w:fill="E8F5E9" w:val="clear"/>
            <w:tcMar>
              <w:top w:type="dxa" w:w="100"/>
              <w:left w:type="dxa" w:w="240"/>
              <w:bottom w:type="dxa" w:w="100"/>
              <w:right w:type="dxa" w:w="20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00695C"/>
                <w:sz w:val="20"/>
                <w:szCs w:val="20"/>
              </w:rPr>
              <w:t xml:space="preserve">LinkedIn Article Series — Power BI &amp; Fabric Architecture</w:t>
            </w:r>
            <w:r>
              <w:rPr>
                <w:rFonts w:ascii="Calibri" w:cs="Calibri" w:eastAsia="Calibri" w:hAnsi="Calibri"/>
                <w:color w:val="616161"/>
                <w:sz w:val="20"/>
                <w:szCs w:val="20"/>
              </w:rPr>
              <w:t xml:space="preserve">  ·  6 articles  ·  </w:t>
            </w:r>
            <w:hyperlink w:history="1" r:id="rIdimfqoqyjswqzq_rmv4qgl">
              <w:r>
                <w:rPr>
                  <w:rFonts w:ascii="Calibri" w:cs="Calibri" w:eastAsia="Calibri" w:hAnsi="Calibri"/>
                  <w:color w:val="2E75B6"/>
                  <w:sz w:val="20"/>
                  <w:szCs w:val="20"/>
                  <w:u w:val="single"/>
                </w:rPr>
                <w:t xml:space="preserve">linkedin.com/in/phanindra-gaddam-0886b153</w:t>
              </w:r>
            </w:hyperlink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Publishing a series of practitioner-level thought leadership articles drawn from 13 years of enterprise BI architecture experience: Why Most Fabric Migrations Fail · Zero Throttling at Scale · The Governance Framework That Scaled Across 100+ Workspaces · Persona-Based BI Architecture · Direct Lake vs Import vs Live Connect · FUAM Deployment Guide.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20"/>
                <w:szCs w:val="20"/>
              </w:rPr>
              <w:t xml:space="preserve">CERTIFICATIONS &amp; EDUCATION</w:t>
            </w:r>
          </w:p>
        </w:tc>
      </w:tr>
    </w:tbl>
    <w:p>
      <w:pPr>
        <w:spacing w:after="0" w:before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Microsoft Certified: Power BI Data Analyst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PL-300  ·  2024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Fabric Analytics Engineer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DP-600  ·  In Progress 2025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Generative AI Certification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·  2023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TIBCO Spotfire Certified Professional &amp; Associate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·  2021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TIBCO Data Virtualization Certified Associate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·  2021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M.S. Software Engineering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·  BITS Pilani, India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9026"/>
      </w:tabs>
      <w:spacing w:after="0" w:before="60"/>
    </w:pPr>
    <w:r>
      <w:rPr>
        <w:rFonts w:ascii="Calibri" w:cs="Calibri" w:eastAsia="Calibri" w:hAnsi="Calibri"/>
        <w:color w:val="616161"/>
        <w:sz w:val="16"/>
        <w:szCs w:val="16"/>
      </w:rPr>
      <w:t xml:space="preserve">Phani.g19@gmail.com  ·  +1-907-351-7666  ·  Wayne, NJ</w:t>
    </w:r>
    <w:r>
      <w:rPr>
        <w:rFonts w:ascii="Calibri" w:cs="Calibri" w:eastAsia="Calibri" w:hAnsi="Calibri"/>
        <w:color w:val="2E75B6"/>
        <w:sz w:val="16"/>
        <w:szCs w:val="16"/>
      </w:rPr>
      <w:t xml:space="preserve">	phang7.github.io/Portfolio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tabs>
        <w:tab w:val="right" w:pos="9026"/>
      </w:tabs>
      <w:spacing w:after="60" w:before="0"/>
    </w:pPr>
    <w:r>
      <w:rPr>
        <w:rFonts w:ascii="Calibri" w:cs="Calibri" w:eastAsia="Calibri" w:hAnsi="Calibri"/>
        <w:b/>
        <w:bCs/>
        <w:color w:val="2E75B6"/>
        <w:sz w:val="18"/>
        <w:szCs w:val="18"/>
      </w:rPr>
      <w:t xml:space="preserve">PHANINDRA GADDAM</w:t>
    </w:r>
    <w:r>
      <w:rPr>
        <w:rFonts w:ascii="Calibri" w:cs="Calibri" w:eastAsia="Calibri" w:hAnsi="Calibri"/>
        <w:color w:val="616161"/>
        <w:sz w:val="17"/>
        <w:szCs w:val="17"/>
      </w:rPr>
      <w:t xml:space="preserve">	Power BI Architect · Microsoft Fabric · Enterprise BI Strategy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540" w:hanging="300"/>
      </w:pPr>
      <w:rPr>
        <w:rFonts w:ascii="Calibri" w:cs="Calibri" w:eastAsia="Calibri" w:hAnsi="Calibri"/>
        <w:color w:val="2E75B6"/>
        <w:sz w:val="18"/>
        <w:szCs w:val="18"/>
      </w:rPr>
    </w:lvl>
    <w:lvl w:ilvl="1" w15:tentative="1">
      <w:start w:val="1"/>
      <w:numFmt w:val="bullet"/>
      <w:lvlText w:val="–"/>
      <w:lvlJc w:val="left"/>
      <w:pPr>
        <w:ind w:left="900" w:hanging="300"/>
      </w:pPr>
      <w:rPr>
        <w:rFonts w:ascii="Calibri" w:cs="Calibri" w:eastAsia="Calibri" w:hAnsi="Calibri"/>
        <w:color w:val="616161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60" w:before="120"/>
      <w:outlineLvl w:val="0"/>
    </w:pPr>
    <w:rPr>
      <w:rFonts w:ascii="Calibri" w:cs="Calibri" w:eastAsia="Calibri" w:hAnsi="Calibri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azfp6suli0dbm1qwlxom" Type="http://schemas.openxmlformats.org/officeDocument/2006/relationships/hyperlink" Target="mailto:Phani.g19@gmail.com" TargetMode="External"/><Relationship Id="rIdqnvrltcupi6x88t6tc3zc" Type="http://schemas.openxmlformats.org/officeDocument/2006/relationships/hyperlink" Target="https://www.linkedin.com/in/phanindra-gaddam-0886b153/" TargetMode="External"/><Relationship Id="rIdu4-jfjvzlh12rfhsaocn-" Type="http://schemas.openxmlformats.org/officeDocument/2006/relationships/hyperlink" Target="https://phang7.github.io/Portfolio" TargetMode="External"/><Relationship Id="rIdzoghtpbr78-lfa7j3ehgd" Type="http://schemas.openxmlformats.org/officeDocument/2006/relationships/hyperlink" Target="https://phang7.github.io/Portfolio" TargetMode="External"/><Relationship Id="rIdqacjbw22rh1rat2qd1rhv" Type="http://schemas.openxmlformats.org/officeDocument/2006/relationships/hyperlink" Target="https://phang7.github.io/Portfolio" TargetMode="External"/><Relationship Id="rId5slhy2htpm4uge3xqyf4i" Type="http://schemas.openxmlformats.org/officeDocument/2006/relationships/hyperlink" Target="https://phang7.github.io/Portfolio" TargetMode="External"/><Relationship Id="rIdzqc9nyqd8id-kbxhg2eqa" Type="http://schemas.openxmlformats.org/officeDocument/2006/relationships/hyperlink" Target="https://phang7.github.io/Portfolio" TargetMode="External"/><Relationship Id="rIdiigs9wvmcicmdwfr73xkl" Type="http://schemas.openxmlformats.org/officeDocument/2006/relationships/hyperlink" Target="https://phang7.github.io/Portfolio" TargetMode="External"/><Relationship Id="rIdimfqoqyjswqzq_rmv4qgl" Type="http://schemas.openxmlformats.org/officeDocument/2006/relationships/hyperlink" Target="https://www.linkedin.com/in/phanindra-gaddam-0886b153/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2026-03-23T23:05:36.688Z</dcterms:created>
  <dcterms:modified xsi:type="dcterms:W3CDTF">2026-03-23T23:05:36.689Z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