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44"/>
                <w:szCs w:val="44"/>
              </w:rPr>
              <w:t xml:space="preserve">PHANINDRA GADDAM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Power BI Architect  ·  Microsoft Fabric  ·  Databricks Lakehouse  ·  Enterprise BI Strategy &amp; Governance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Wayne, NJ  ·  +1-907-351-7666  ·  </w:t>
            </w:r>
            <w:hyperlink w:history="1" r:id="rIdytpwnbexrv1gsamokrzlg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Phani.g19@gmail.com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xwh7cfvhx4eph1mzyiwis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cwr9srrpngwce4v1oyohf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Portfolio: phanigaddam.com</w:t>
              </w:r>
            </w:hyperlink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tbl>
            <w:tblPr>
              <w:tblW w:type="dxa" w:w="2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60"/>
            </w:tblGrid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13+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Years Experience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200+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Users Trained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Workspaces Governed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4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Industries</w:t>
                  </w:r>
                </w:p>
              </w:tc>
            </w:tr>
          </w:tbl>
          <w:p/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SUMMARY</w:t>
            </w:r>
          </w:p>
        </w:tc>
      </w:tr>
    </w:tbl>
    <w:p>
      <w:pPr>
        <w:spacing w:after="0" w:before="50"/>
      </w:pPr>
    </w:p>
    <w:p>
      <w:pPr>
        <w:spacing w:after="50" w:before="5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Enterprise Power BI Architect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13+ years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of experience designing, optimising, and governing large-scale BI ecosystems across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Life Sciences, Healthcare, Oil &amp; Gas,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Ecommerce.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Expert in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Fabric, Databricks Lakehouse, OneLake, Medallion architecture,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hybrid architectures (Snowflake, Denodo, SQL). Recently drove the migration from Denodo to Databricks, modernising data pipelines and enabling high-performance Delta-based semantic models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connectivity.</w:t>
      </w:r>
    </w:p>
    <w:p>
      <w:pPr>
        <w:spacing w:after="60" w:before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Active contributor to the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 open-source community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published a comprehensive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enterprise deployment guide and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six-article technical series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covering Fabric architecture, governance, performance optimisation, and Direct Lake strategy. All available at </w:t>
      </w:r>
      <w:hyperlink w:history="1" r:id="rIdtipx0mt6lylr1xvvxt-qh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phanigaddam.com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CORE ARCHITECTURE SKILLS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&amp; Power BI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Microsoft Fabric · Power BI Architecture · OneLake · Direct Lake · Import · Live Connect · Semantic Models · Large Models · Incremental Refresh · Capacity Planning · Deployment Pipelines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Data Platforms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Databricks Lakehouse · Delta Lake · Unity Catalog · Medallion Architecture · Snowflake · Denodo · Azure Data Factory · SQL Server · Oracle · PostgreSQL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Governance &amp; Security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Tenant Administration · Workspace Design · RLS / OLS · Service Principals · CI/CD Pipelines · Gateway Architecture · Lifecycle Management · Access Controls · Data Governance Frameworks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SAP BO 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SAP BusinessObjects XI 3.1 · BI 4.0 / 4.2 · CMC · LCM · IDT Universe Design · AD / LDAP Integration · Security Architecture · Upgrade Programs (3.x → 4.2)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Languages &amp; Tools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DAX · M Query · SQL · PowerShell · Bash · REST APIs · Python · VS Code · Postman · Git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Strategy &amp; Advisory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SCQA Storytelling · Executive Communication · Roadmap Creation · Persona-Based BI Design · Stakeholder Advisory · AI &amp; Copilot Enablement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EXPERIENCE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Tata Consultancy Services  |  Client: Becton Dickinson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Jan 2022 – Present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Power BI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New Jersey, USA · Life Sciences</w:t>
            </w:r>
          </w:p>
        </w:tc>
      </w:tr>
    </w:tbl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Enterprise BI Platform Ownership &amp; Modernisation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Led end-to-end Power BI enterprise platform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implementation — tenant setup, governance, security, workspace strategy, and enterprise standards from the ground up across a Fortune 500 Life Sciences organisation.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Directed migration of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MicroStrategy and Qlik portfolios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Power BI, redesigning reporting architecture for scalability, performance, and executive-grade reliability across Finance, Supply Chain, Quality, and Commercial.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unified enterprise semantic layer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supporting cross-functional analytics — reducing report duplication by standardising on a single governed data model with persona-based access layers.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Hybrid Architecture &amp; Data Platform Transformation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Denodo → Azure Databricks migration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collaborating with data engineering to redesign ingestion pipelines,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Medallion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(Bronze / Silver / Gold), Delta Lake structures, and Lakehouse modelling on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OneLake / Microsoft Fabric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Established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Databricks + Power BI + Fabric integration patterns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including SQL endpoints, Delta optimisation, and capacity-aware refresh strategies — reducing average semantic model refresh time by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~55%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-mode semantic models aligned to Fabric Lakehouse Gold layer, enabling sub-second executive dashboard performance at scale.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Governance, Security &amp; Tenant Administration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Owned tenant-level administration for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100+ workspaces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capacity planning, workspace governance, service principals, deployment pipelines, naming conventions, lifecycle management, and enterprise security policies.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and managed gateway clusters, high-availability configurations, and automated monitoring — achieving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zero unplanned executive dashboard outages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12 consecutive months.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RLS/OLS, workspace segmentation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and governance frameworks that the organisation continues to use as its standard today.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Automation, Performance &amp; Platform Engineering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automation solutions using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PowerShell, REST APIs, service principals, and CI/CD pipelines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streamline workspace provisioning, dataset refresh orchestration, and governance compliance checking.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Deployed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published an enterprise deployment guide as an open-source community contribution — see portfolio for details.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Eliminated throttling and performance bottlenecks through semantic model tuning, incremental refresh redesign, caching strategies, and capacity-aware design —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reducing refresh times by ~55% and CU consumption by ~40%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at peak periods.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persona-based BI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separating executive dashboards (Import, pre-aggregated), operational analytics (Direct Lake), and self-service layers (Lakehouse SQL endpoint) to eliminate workload contention.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Cross-Functional Leadership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Served as primary BI advisor to IT leadership — guiding Fabric adoption, capacity planning, governance, and modernisation strategy.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Trained 200+ analysts and business users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Power BI, Microsoft Fabric, Databricks, and self-service best practices.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HP Inc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Aug 2021 – Jan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Power BI Consultant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Texas, USA · Technology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Modernised legacy BI platform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advanced DAX, time intelligence measures, and KPI frameworks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executive and operational reporting.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UAT cycles, iterative refinements, and stakeholder alignment across multiple business units.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Alyeska Pipeline Services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Mar 2018 – Aug 2021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BO BI Developer / Power BI Support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Alaska, USA · Oil &amp; Gas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BI 3.1 → 4.2 upgrade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full platform migration including CMC security redesign, LCM lifecycle configuration, IDT universe migration, and AD/LDAP integration for enterprise SSO.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Delivered Power BI training programme and migrated WebI reports to Power BI dashboards for operational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Automated SLA compliance dashboards using SCCM data across a 3-year engagement.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Allergan · HCA Healthcare · Saudi Aramco · National Grid · British Petroleum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2012 – 2018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BI Developer / SAP BO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Multiple Locations · Healthcare · Energy · Utilities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XI 3.1 → BI 4.x upgrade programs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major enterprises across pharmaceutical, healthcare, and energy sectors.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CMC-based security architectures, LCM promotion workflows, and IDT multi-source universe frameworks across 5 enterprise clients over 6 years.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Managed offshore delivery teams, UAT cycles, and enterprise reporting transitions to Power BI.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PORTFOLIO, CONTRIBUTIONS &amp; THOUGHT LEADERSHIP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"/>
              <w:bottom w:val="none" w:color="FFFFFF" w:sz="0"/>
              <w:right w:val="none" w:color="FFFFFF" w:sz="0"/>
            </w:tcBorders>
            <w:shd w:fill="E8F4FB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Portfolio Website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8xj1tiwk2k58pb9mzkqlt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phanigaddam.com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Full professional portfolio including project case studies, skills, career timeline, and 6 in-depth technical articles on Fabric architecture, governance, performance optimisation, DAX modelling, Direct Lake strategy, and FUAM deployment. All content readable directly on-site — no external links required.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695C" w:sz="1"/>
              <w:bottom w:val="none" w:color="FFFFFF" w:sz="0"/>
              <w:right w:val="none" w:color="FFFFFF" w:sz="0"/>
            </w:tcBorders>
            <w:shd w:fill="E8F5E9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00695C"/>
                <w:sz w:val="20"/>
                <w:szCs w:val="20"/>
              </w:rPr>
              <w:t xml:space="preserve">FUAM Enterprise Deployment Guide  ·  Open Source Community Contribution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arb14zwt-oya3etzylqke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Available at portfolio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Authored and published a comprehensive enterprise deployment guide for FUAM (Fabric Unified Admin Monitoring) — an open-source Microsoft Fabric tenant monitoring solution. Covers Service Principal setup, pipeline orchestration, Azure Key Vault integration, governance configuration, and scheduling. Available on GitHub via the portfolio link above.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65100" w:sz="1"/>
              <w:bottom w:val="none" w:color="FFFFFF" w:sz="0"/>
              <w:right w:val="none" w:color="FFFFFF" w:sz="0"/>
            </w:tcBorders>
            <w:shd w:fill="FFF8E1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00695C"/>
                <w:sz w:val="20"/>
                <w:szCs w:val="20"/>
              </w:rPr>
              <w:t xml:space="preserve">Technical Article Series  ·  6 Articles on Enterprise Power BI &amp; Fabric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y4ecpftdc78igfsmaqu-l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Read at phanigaddam.com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Published practitioner-level articles drawn from 13 years of enterprise BI experience: (1) Why Most Fabric Migrations Fail · (2) Zero Throttling at Scale · (3) Governance Framework for 100+ Workspaces · (4) Persona-Based BI Architecture · (5) Direct Lake vs Import vs Live Connect · (6) FUAM Tenant Monitoring Deployment. Readable at portfolio.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CERTIFICATIONS &amp; EDUCATION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Microsoft Certified: Power BI Data Analyst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PL-300  ·  2024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Analytics Engineer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DP-600  ·  In Progress 2025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Generative AI Certification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2023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Spotfire Certified Professional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Data Virtualization Certified Associate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M.S. Software Engineering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BITS Pilani, India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  <w:spacing w:after="0" w:before="60"/>
    </w:pPr>
    <w:r>
      <w:rPr>
        <w:rFonts w:ascii="Calibri" w:cs="Calibri" w:eastAsia="Calibri" w:hAnsi="Calibri"/>
        <w:color w:val="616161"/>
        <w:sz w:val="16"/>
        <w:szCs w:val="16"/>
      </w:rPr>
      <w:t xml:space="preserve">Phani.g19@gmail.com  ·  +1-907-351-7666  ·  Wayne, NJ</w:t>
    </w:r>
    <w:r>
      <w:rPr>
        <w:rFonts w:ascii="Calibri" w:cs="Calibri" w:eastAsia="Calibri" w:hAnsi="Calibri"/>
        <w:color w:val="2E75B6"/>
        <w:sz w:val="16"/>
        <w:szCs w:val="16"/>
      </w:rPr>
      <w:t xml:space="preserve">	phanigaddam.com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60" w:before="0"/>
    </w:pPr>
    <w:r>
      <w:rPr>
        <w:rFonts w:ascii="Calibri" w:cs="Calibri" w:eastAsia="Calibri" w:hAnsi="Calibri"/>
        <w:b/>
        <w:bCs/>
        <w:color w:val="2E75B6"/>
        <w:sz w:val="18"/>
        <w:szCs w:val="18"/>
      </w:rPr>
      <w:t xml:space="preserve">PHANINDRA GADDAM</w:t>
    </w:r>
    <w:r>
      <w:rPr>
        <w:rFonts w:ascii="Calibri" w:cs="Calibri" w:eastAsia="Calibri" w:hAnsi="Calibri"/>
        <w:color w:val="616161"/>
        <w:sz w:val="17"/>
        <w:szCs w:val="17"/>
      </w:rPr>
      <w:t xml:space="preserve">	Power BI Architect  ·  Microsoft Fabric  ·  Enterprise BI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300"/>
      </w:pPr>
      <w:rPr>
        <w:rFonts w:ascii="Calibri" w:cs="Calibri" w:eastAsia="Calibri" w:hAnsi="Calibri"/>
        <w:color w:val="2E75B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tpwnbexrv1gsamokrzlg" Type="http://schemas.openxmlformats.org/officeDocument/2006/relationships/hyperlink" Target="mailto:Phani.g19@gmail.com" TargetMode="External"/><Relationship Id="rIdxwh7cfvhx4eph1mzyiwis" Type="http://schemas.openxmlformats.org/officeDocument/2006/relationships/hyperlink" Target="https://www.linkedin.com/in/phanindra-gaddam-0886b153/" TargetMode="External"/><Relationship Id="rIdcwr9srrpngwce4v1oyohf" Type="http://schemas.openxmlformats.org/officeDocument/2006/relationships/hyperlink" Target="https://phanigaddam.com" TargetMode="External"/><Relationship Id="rIdtipx0mt6lylr1xvvxt-qh" Type="http://schemas.openxmlformats.org/officeDocument/2006/relationships/hyperlink" Target="https://phanigaddam.com" TargetMode="External"/><Relationship Id="rId8xj1tiwk2k58pb9mzkqlt" Type="http://schemas.openxmlformats.org/officeDocument/2006/relationships/hyperlink" Target="https://phanigaddam.com" TargetMode="External"/><Relationship Id="rIdarb14zwt-oya3etzylqke" Type="http://schemas.openxmlformats.org/officeDocument/2006/relationships/hyperlink" Target="https://phanigaddam.com" TargetMode="External"/><Relationship Id="rIdy4ecpftdc78igfsmaqu-l" Type="http://schemas.openxmlformats.org/officeDocument/2006/relationships/hyperlink" Target="https://phanigaddam.com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2026-03-25T02:21:05.925Z</dcterms:created>
  <dcterms:modified xsi:type="dcterms:W3CDTF">2026-03-25T02:21:05.926Z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