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7edc36306d4f3d911d70d51a76e74a02c5fa6f"/>
    <w:p>
      <w:pPr>
        <w:pStyle w:val="Heading1"/>
      </w:pPr>
      <w:r>
        <w:t xml:space="preserve">The verdict is in the test: naive baselines, dry controls, and operating points in open flood-model validation</w:t>
      </w:r>
    </w:p>
    <w:p>
      <w:pPr>
        <w:pStyle w:val="FirstParagraph"/>
      </w:pPr>
      <w:r>
        <w:rPr>
          <w:i/>
          <w:iCs/>
        </w:rPr>
        <w:t xml:space="preserve">Submission type: Advances in Modelling Practice (problem-and-solution). Author, affiliation,</w:t>
      </w:r>
      <w:r>
        <w:rPr>
          <w:i/>
          <w:iCs/>
        </w:rPr>
        <w:t xml:space="preserve"> </w:t>
      </w:r>
      <w:r>
        <w:rPr>
          <w:i/>
          <w:iCs/>
        </w:rPr>
        <w:t xml:space="preserve">venue details TBD. Corresponding author: phang.daniel@gmail.com.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Comparative validation of urban flood models is more fragile than it looks. Using a fully open</w:t>
      </w:r>
      <w:r>
        <w:t xml:space="preserve"> </w:t>
      </w:r>
      <w:r>
        <w:t xml:space="preserve">multi-hazard model for Singapore scored against the official PUB flood-prone register, we show</w:t>
      </w:r>
      <w:r>
        <w:t xml:space="preserve"> </w:t>
      </w:r>
      <w:r>
        <w:t xml:space="preserve">that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model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data yields four different verdicts depending only on how the</w:t>
      </w:r>
      <w:r>
        <w:t xml:space="preserve"> </w:t>
      </w:r>
      <w:r>
        <w:t xml:space="preserve">test is set up. (i) Scored by hit-rate or ROC-AUC against the register alone, the model looks</w:t>
      </w:r>
      <w:r>
        <w:t xml:space="preserve"> </w:t>
      </w:r>
      <w:r>
        <w:t xml:space="preserve">“validated”</w:t>
      </w:r>
      <w:r>
        <w:t xml:space="preserve"> </w:t>
      </w:r>
      <w:r>
        <w:t xml:space="preserve">(AUC 0.65). (ii) Add the naive baseline a practitioner would otherwise use — a</w:t>
      </w:r>
      <w:r>
        <w:t xml:space="preserve"> </w:t>
      </w:r>
      <w:r>
        <w:t xml:space="preserve">topographic wetness index (TWI) — and it scores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(0.75): the calibrated model does not</w:t>
      </w:r>
      <w:r>
        <w:t xml:space="preserve"> </w:t>
      </w:r>
      <w:r>
        <w:t xml:space="preserve">out-locate free topography. (iii) Compare specificity at a fixed depth threshold and the model</w:t>
      </w:r>
      <w:r>
        <w:t xml:space="preserve"> </w:t>
      </w:r>
      <w:r>
        <w:t xml:space="preserve">looks</w:t>
      </w:r>
      <w:r>
        <w:t xml:space="preserve"> </w:t>
      </w:r>
      <w:r>
        <w:t xml:space="preserve">“significantly more specific”</w:t>
      </w:r>
      <w:r>
        <w:t xml:space="preserve"> </w:t>
      </w:r>
      <w:r>
        <w:t xml:space="preserve">(it floods 1.85% of land versus TWI’s 15%) — but that is an</w:t>
      </w:r>
      <w:r>
        <w:t xml:space="preserve"> </w:t>
      </w:r>
      <w:r>
        <w:t xml:space="preserve">artifact of operating at far lower sensitivity; at matched specificity TWI’s hit-rate (0.71) beats</w:t>
      </w:r>
      <w:r>
        <w:t xml:space="preserve"> </w:t>
      </w:r>
      <w:r>
        <w:t xml:space="preserve">the model’s (0.39). (iv) The verdict even swings with the negatives chosen: against random land the</w:t>
      </w:r>
      <w:r>
        <w:t xml:space="preserve"> </w:t>
      </w:r>
      <w:r>
        <w:t xml:space="preserve">model discriminates significantly better (ΔAUC +0.14, 95% CI [+0.04, +0.24], stable across</w:t>
      </w:r>
      <w:r>
        <w:t xml:space="preserve"> </w:t>
      </w:r>
      <w:r>
        <w:t xml:space="preserve">samples), yet against low-lying-but-dry developed areas — the decision-relevant case — the two</w:t>
      </w:r>
      <w:r>
        <w:t xml:space="preserve"> </w:t>
      </w:r>
      <w:r>
        <w:t xml:space="preserve">are statistically indistinguishable (0.65 vs 0.75; ΔAUC −0.10, CI spans zero). We distil a</w:t>
      </w:r>
      <w:r>
        <w:t xml:space="preserve"> </w:t>
      </w:r>
      <w:r>
        <w:rPr>
          <w:i/>
          <w:iCs/>
        </w:rPr>
        <w:t xml:space="preserve">documented-register</w:t>
      </w:r>
      <w:r>
        <w:rPr>
          <w:i/>
          <w:iCs/>
        </w:rP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and a short checklist that make such comparisons honest: include naive baselines and two</w:t>
      </w:r>
      <w:r>
        <w:t xml:space="preserve"> </w:t>
      </w:r>
      <w:r>
        <w:t xml:space="preserve">tiers of documented dry controls, prefer threshold-free metrics, compare at matched operating</w:t>
      </w:r>
      <w:r>
        <w:t xml:space="preserve"> </w:t>
      </w:r>
      <w:r>
        <w:t xml:space="preserve">points, and attach paired bootstrap confidence intervals. The lesson is general: a flood model’s</w:t>
      </w:r>
      <w:r>
        <w:t xml:space="preserve"> </w:t>
      </w:r>
      <w:r>
        <w:t xml:space="preserve">measured</w:t>
      </w:r>
      <w:r>
        <w:t xml:space="preserve"> </w:t>
      </w:r>
      <w:r>
        <w:t xml:space="preserve">“skill”</w:t>
      </w:r>
      <w:r>
        <w:t xml:space="preserve"> </w:t>
      </w:r>
      <w:r>
        <w:t xml:space="preserve">is as much a property of the test as of the model.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flood model validation; modelling practice; naive baselines; ROC-AUC; operating point</w:t>
      </w:r>
    </w:p>
    <w:p>
      <w:r>
        <w:pict>
          <v:rect style="width:0;height:1.5pt" o:hralign="center" o:hrstd="t" o:hr="t"/>
        </w:pict>
      </w:r>
    </w:p>
    <w:bookmarkEnd w:id="9"/>
    <w:bookmarkStart w:id="10" w:name="the-problem-in-practice"/>
    <w:p>
      <w:pPr>
        <w:pStyle w:val="Heading2"/>
      </w:pPr>
      <w:r>
        <w:t xml:space="preserve">1. The problem in practice</w:t>
      </w:r>
    </w:p>
    <w:p>
      <w:pPr>
        <w:pStyle w:val="FirstParagraph"/>
      </w:pPr>
      <w:r>
        <w:t xml:space="preserve">Comparative flood-model validation is usually reported as a single number — a hit-rate or a</w:t>
      </w:r>
      <w:r>
        <w:t xml:space="preserve"> </w:t>
      </w:r>
      <w:r>
        <w:t xml:space="preserve">ROC-AUC against an inventory of known flood locations — and read as evidence that the model works,</w:t>
      </w:r>
      <w:r>
        <w:t xml:space="preserve"> </w:t>
      </w:r>
      <w:r>
        <w:t xml:space="preserve">or that calibration beats a simpler alternative. That number is more fragile than it appears.</w:t>
      </w:r>
    </w:p>
    <w:p>
      <w:pPr>
        <w:pStyle w:val="BodyText"/>
      </w:pPr>
      <w:r>
        <w:t xml:space="preserve">Most of what a flood register records is</w:t>
      </w:r>
      <w:r>
        <w:t xml:space="preserve"> </w:t>
      </w:r>
      <w:r>
        <w:rPr>
          <w:b/>
          <w:bCs/>
        </w:rPr>
        <w:t xml:space="preserve">low-lying convergent ground</w:t>
      </w:r>
      <w:r>
        <w:t xml:space="preserve">, which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method that</w:t>
      </w:r>
      <w:r>
        <w:t xml:space="preserve"> </w:t>
      </w:r>
      <w:r>
        <w:t xml:space="preserve">flags low ground will capture; a model that floods the wettest fraction of the terrain, with no</w:t>
      </w:r>
      <w:r>
        <w:t xml:space="preserve"> </w:t>
      </w:r>
      <w:r>
        <w:t xml:space="preserve">rainfall and no calibration, can match a calibrated hydraulic model on such a test. And the</w:t>
      </w:r>
      <w:r>
        <w:t xml:space="preserve"> </w:t>
      </w:r>
      <w:r>
        <w:t xml:space="preserve">outcome of a comparison turns on choices that are rarely stated: whether a naive baseline is</w:t>
      </w:r>
      <w:r>
        <w:t xml:space="preserve"> </w:t>
      </w:r>
      <w:r>
        <w:t xml:space="preserve">included at all; which negatives (if any) are used; at what operating point the methods are</w:t>
      </w:r>
      <w:r>
        <w:t xml:space="preserve"> </w:t>
      </w:r>
      <w:r>
        <w:t xml:space="preserve">compared; and which metric. Change those, and — as we show below —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model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register can read as</w:t>
      </w:r>
      <w:r>
        <w:t xml:space="preserve"> </w:t>
      </w:r>
      <w:r>
        <w:t xml:space="preserve">“validated,”</w:t>
      </w:r>
      <w:r>
        <w:t xml:space="preserve"> </w:t>
      </w:r>
      <w:r>
        <w:t xml:space="preserve">“no better than topography,”</w:t>
      </w:r>
      <w:r>
        <w:t xml:space="preserve"> </w:t>
      </w:r>
      <w:r>
        <w:t xml:space="preserve">“significantly more specific,”</w:t>
      </w:r>
      <w:r>
        <w:t xml:space="preserve"> </w:t>
      </w:r>
      <w:r>
        <w:t xml:space="preserve">or</w:t>
      </w:r>
      <w:r>
        <w:t xml:space="preserve"> </w:t>
      </w:r>
      <w:r>
        <w:t xml:space="preserve">“better only against the general landscape.”</w:t>
      </w:r>
    </w:p>
    <w:p>
      <w:pPr>
        <w:pStyle w:val="BodyText"/>
      </w:pPr>
      <w:r>
        <w:t xml:space="preserve">This is a problem of modelling</w:t>
      </w:r>
      <w:r>
        <w:t xml:space="preserve"> </w:t>
      </w:r>
      <w:r>
        <w:rPr>
          <w:i/>
          <w:iCs/>
        </w:rPr>
        <w:t xml:space="preserve">practice</w:t>
      </w:r>
      <w:r>
        <w:t xml:space="preserve">, not of any one model, and it is cheap to fix. We</w:t>
      </w:r>
      <w:r>
        <w:t xml:space="preserve"> </w:t>
      </w:r>
      <w:r>
        <w:t xml:space="preserve">demonstrate it concretely on an open model for Singapore and give a small, reproducible discipline</w:t>
      </w:r>
      <w:r>
        <w:t xml:space="preserve"> </w:t>
      </w:r>
      <w:r>
        <w:t xml:space="preserve">that makes the comparison robust and honest.</w:t>
      </w:r>
    </w:p>
    <w:bookmarkEnd w:id="10"/>
    <w:bookmarkStart w:id="11" w:name="X593b4477dd51a60ce7e608e8b3bcc6b409c41b8"/>
    <w:p>
      <w:pPr>
        <w:pStyle w:val="Heading2"/>
      </w:pPr>
      <w:r>
        <w:t xml:space="preserve">2. The discipline: a documented-register benchmark</w:t>
      </w:r>
    </w:p>
    <w:p>
      <w:pPr>
        <w:pStyle w:val="FirstParagraph"/>
      </w:pPr>
      <w:r>
        <w:t xml:space="preserve">The benchmark has five ingredients, each closing one route by which a comparison misleads. Every</w:t>
      </w:r>
      <w:r>
        <w:t xml:space="preserve"> </w:t>
      </w:r>
      <w:r>
        <w:t xml:space="preserve">component is reproducible in any city that publishes a flood register.</w:t>
      </w:r>
    </w:p>
    <w:p>
      <w:pPr>
        <w:pStyle w:val="BodyText"/>
      </w:pPr>
      <w:r>
        <w:rPr>
          <w:b/>
          <w:bCs/>
        </w:rPr>
        <w:t xml:space="preserve">(a) Positives from an authoritative register.</w:t>
      </w:r>
      <w:r>
        <w:t xml:space="preserve"> </w:t>
      </w:r>
      <w:r>
        <w:t xml:space="preserve">Use the official register the responsible</w:t>
      </w:r>
      <w:r>
        <w:t xml:space="preserve"> </w:t>
      </w:r>
      <w:r>
        <w:t xml:space="preserve">authority maintains (for Singapore, the PUB</w:t>
      </w:r>
      <w:r>
        <w:t xml:space="preserve"> </w:t>
      </w:r>
      <w:r>
        <w:rPr>
          <w:i/>
          <w:iCs/>
        </w:rPr>
        <w:t xml:space="preserve">List of Flood-Prone Areas</w:t>
      </w:r>
      <w:r>
        <w:t xml:space="preserve">), and geocode each entry</w:t>
      </w:r>
      <w:r>
        <w:t xml:space="preserve"> </w:t>
      </w:r>
      <w:r>
        <w:t xml:space="preserve">with an authoritative gazetteer rather than by hand; cross-check coordinates against the terrain,</w:t>
      </w:r>
      <w:r>
        <w:t xml:space="preserve"> </w:t>
      </w:r>
      <w:r>
        <w:t xml:space="preserve">because a hand-placed pin in the wrong hollow silently corrupts the score.</w:t>
      </w:r>
    </w:p>
    <w:p>
      <w:pPr>
        <w:pStyle w:val="BodyText"/>
      </w:pPr>
      <w:r>
        <w:rPr>
          <w:b/>
          <w:bCs/>
        </w:rPr>
        <w:t xml:space="preserve">(b) Documented dry controls — in two tiers, and treated as a design choice.</w:t>
      </w:r>
      <w:r>
        <w:t xml:space="preserve"> </w:t>
      </w:r>
      <w:r>
        <w:t xml:space="preserve">A hit-rate-only</w:t>
      </w:r>
      <w:r>
        <w:t xml:space="preserve"> </w:t>
      </w:r>
      <w:r>
        <w:t xml:space="preserve">score is gamed by flooding everything; documented</w:t>
      </w:r>
      <w:r>
        <w:t xml:space="preserve"> </w:t>
      </w:r>
      <w:r>
        <w:rPr>
          <w:i/>
          <w:iCs/>
        </w:rPr>
        <w:t xml:space="preserve">negatives</w:t>
      </w:r>
      <w:r>
        <w:t xml:space="preserve"> </w:t>
      </w:r>
      <w:r>
        <w:t xml:space="preserve">stop that. Include</w:t>
      </w:r>
      <w:r>
        <w:t xml:space="preserve"> </w:t>
      </w:r>
      <w:r>
        <w:rPr>
          <w:i/>
          <w:iCs/>
        </w:rPr>
        <w:t xml:space="preserve">elevated</w:t>
      </w:r>
      <w:r>
        <w:t xml:space="preserve"> </w:t>
      </w:r>
      <w:r>
        <w:t xml:space="preserve">sites</w:t>
      </w:r>
      <w:r>
        <w:t xml:space="preserve"> </w:t>
      </w:r>
      <w:r>
        <w:t xml:space="preserve">(robust true negatives)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low-lying developed areas conspicuously</w:t>
      </w:r>
      <w:r>
        <w:t xml:space="preserve"> </w:t>
      </w:r>
      <w:r>
        <w:rPr>
          <w:i/>
          <w:iCs/>
        </w:rPr>
        <w:t xml:space="preserve">absent</w:t>
      </w:r>
      <w:r>
        <w:t xml:space="preserve"> </w:t>
      </w:r>
      <w:r>
        <w:t xml:space="preserve">from the</w:t>
      </w:r>
      <w:r>
        <w:t xml:space="preserve"> </w:t>
      </w:r>
      <w:r>
        <w:t xml:space="preserve">comprehensive register (discriminating negatives). Crucially,</w:t>
      </w:r>
      <w:r>
        <w:t xml:space="preserve"> </w:t>
      </w:r>
      <w:r>
        <w:rPr>
          <w:b/>
          <w:bCs/>
        </w:rPr>
        <w:t xml:space="preserve">the negative set is itself a</w:t>
      </w:r>
      <w:r>
        <w:rPr>
          <w:b/>
          <w:bCs/>
        </w:rPr>
        <w:t xml:space="preserve"> </w:t>
      </w:r>
      <w:r>
        <w:rPr>
          <w:b/>
          <w:bCs/>
        </w:rPr>
        <w:t xml:space="preserve">choice that changes the verdict</w:t>
      </w:r>
      <w:r>
        <w:t xml:space="preserve"> </w:t>
      </w:r>
      <w:r>
        <w:t xml:space="preserve">(§3): a method can look strong against random land and weak</w:t>
      </w:r>
      <w:r>
        <w:t xml:space="preserve"> </w:t>
      </w:r>
      <w:r>
        <w:t xml:space="preserve">against low-lying-but-dry land. Report against both, and select all controls by a neutral rule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inspecting any model output.</w:t>
      </w:r>
    </w:p>
    <w:p>
      <w:pPr>
        <w:pStyle w:val="BodyText"/>
      </w:pPr>
      <w:r>
        <w:rPr>
          <w:b/>
          <w:bCs/>
        </w:rPr>
        <w:t xml:space="preserve">(c) Naive open baselines.</w:t>
      </w:r>
      <w:r>
        <w:t xml:space="preserve"> </w:t>
      </w:r>
      <w:r>
        <w:t xml:space="preserve">Score, on identical points, the open methods a practitioner would</w:t>
      </w:r>
      <w:r>
        <w:t xml:space="preserve"> </w:t>
      </w:r>
      <w:r>
        <w:t xml:space="preserve">otherwise reach for: a</w:t>
      </w:r>
      <w:r>
        <w:t xml:space="preserve"> </w:t>
      </w:r>
      <w:r>
        <w:rPr>
          <w:i/>
          <w:iCs/>
        </w:rPr>
        <w:t xml:space="preserve">Topographic Wetness Index</w:t>
      </w:r>
      <w:r>
        <w:t xml:space="preserve"> </w:t>
      </w:r>
      <w:r>
        <w:t xml:space="preserve">(TWI = ln(a/tan β); Beven &amp; Kirkby, 1979), and,</w:t>
      </w:r>
      <w:r>
        <w:t xml:space="preserve"> </w:t>
      </w:r>
      <w:r>
        <w:t xml:space="preserve">to triangulate, a second structurally independent index such as</w:t>
      </w:r>
      <w:r>
        <w:t xml:space="preserve"> </w:t>
      </w:r>
      <w:r>
        <w:rPr>
          <w:i/>
          <w:iCs/>
        </w:rPr>
        <w:t xml:space="preserve">Topographic Position Index</w:t>
      </w:r>
      <w:r>
        <w:t xml:space="preserve"> </w:t>
      </w:r>
      <w:r>
        <w:t xml:space="preserve">(local depression depth). Beating these by a clear margin — not merely beating chance — is the</w:t>
      </w:r>
      <w:r>
        <w:t xml:space="preserve"> </w:t>
      </w:r>
      <w:r>
        <w:t xml:space="preserve">real test of whether calibration adds value.</w:t>
      </w:r>
    </w:p>
    <w:p>
      <w:pPr>
        <w:pStyle w:val="BodyText"/>
      </w:pPr>
      <w:r>
        <w:rPr>
          <w:b/>
          <w:bCs/>
        </w:rPr>
        <w:t xml:space="preserve">(d) Threshold-free metrics, compared at matched operating points.</w:t>
      </w:r>
      <w:r>
        <w:t xml:space="preserve"> </w:t>
      </w:r>
      <w:r>
        <w:t xml:space="preserve">Report a threshold-free</w:t>
      </w:r>
      <w:r>
        <w:t xml:space="preserve"> </w:t>
      </w:r>
      <w:r>
        <w:t xml:space="preserve">ROC-AUC (Hanley &amp; McNeil, 1982), not only a single depth cutoff. A fixed cutoff</w:t>
      </w:r>
      <w:r>
        <w:t xml:space="preserve"> </w:t>
      </w:r>
      <w:r>
        <w:rPr>
          <w:b/>
          <w:bCs/>
        </w:rPr>
        <w:t xml:space="preserve">confounds</w:t>
      </w:r>
      <w:r>
        <w:rPr>
          <w:b/>
          <w:bCs/>
        </w:rPr>
        <w:t xml:space="preserve"> </w:t>
      </w:r>
      <w:r>
        <w:rPr>
          <w:b/>
          <w:bCs/>
        </w:rPr>
        <w:t xml:space="preserve">“specificity”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how much land a method floods</w:t>
      </w:r>
      <w:r>
        <w:t xml:space="preserve">: a conservative model that wets little land will</w:t>
      </w:r>
      <w:r>
        <w:t xml:space="preserve"> </w:t>
      </w:r>
      <w:r>
        <w:t xml:space="preserve">reject most negatives regardless of skill. If a fixed operating point is reported, compare methods</w:t>
      </w:r>
      <w:r>
        <w:t xml:space="preserve"> </w:t>
      </w:r>
      <w:r>
        <w:t xml:space="preserve">at</w:t>
      </w:r>
      <w:r>
        <w:t xml:space="preserve"> </w:t>
      </w:r>
      <w:r>
        <w:rPr>
          <w:i/>
          <w:iCs/>
        </w:rPr>
        <w:t xml:space="preserve">matched</w:t>
      </w:r>
      <w:r>
        <w:t xml:space="preserve"> </w:t>
      </w:r>
      <w:r>
        <w:t xml:space="preserve">sensitivity or specificity, not at each method’s arbitrary default. Pair this with the</w:t>
      </w:r>
      <w:r>
        <w:t xml:space="preserve"> </w:t>
      </w:r>
      <w:r>
        <w:t xml:space="preserve">gaming-resistant True Skill Statistic (TSS; Peirce, 1884; Hanssen &amp; Kuipers, 1965) computed against</w:t>
      </w:r>
      <w:r>
        <w:t xml:space="preserve"> </w:t>
      </w:r>
      <w:r>
        <w:t xml:space="preserve">the dry controls.</w:t>
      </w:r>
    </w:p>
    <w:p>
      <w:pPr>
        <w:pStyle w:val="BodyText"/>
      </w:pPr>
      <w:r>
        <w:rPr>
          <w:b/>
          <w:bCs/>
        </w:rPr>
        <w:t xml:space="preserve">(e) Uncertainty.</w:t>
      </w:r>
      <w:r>
        <w:t xml:space="preserve"> </w:t>
      </w:r>
      <w:r>
        <w:t xml:space="preserve">Registers are modest (tens of points), so attach a</w:t>
      </w:r>
      <w:r>
        <w:t xml:space="preserve"> </w:t>
      </w:r>
      <w:r>
        <w:rPr>
          <w:b/>
          <w:bCs/>
        </w:rPr>
        <w:t xml:space="preserve">paired bootstrap</w:t>
      </w:r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(Efron &amp; Tibshirani, 1993) to every model-vs-baseline difference, and treat a</w:t>
      </w:r>
      <w:r>
        <w:t xml:space="preserve"> </w:t>
      </w:r>
      <w:r>
        <w:t xml:space="preserve">comparative claim as supported only when the interval excludes zero. Fix the scoring parameters</w:t>
      </w:r>
      <w:r>
        <w:t xml:space="preserve"> </w:t>
      </w:r>
      <w:r>
        <w:t xml:space="preserve">(neighbourhood radius, depth threshold, anchor return period) before seeing results.</w:t>
      </w:r>
    </w:p>
    <w:bookmarkEnd w:id="11"/>
    <w:bookmarkStart w:id="15" w:name="worked-example-one-model-four-verdicts"/>
    <w:p>
      <w:pPr>
        <w:pStyle w:val="Heading2"/>
      </w:pPr>
      <w:r>
        <w:t xml:space="preserve">3. Worked example: one model, four verdicts</w:t>
      </w:r>
    </w:p>
    <w:p>
      <w:pPr>
        <w:pStyle w:val="FirstParagraph"/>
      </w:pPr>
      <w:r>
        <w:rPr>
          <w:b/>
          <w:bCs/>
        </w:rPr>
        <w:t xml:space="preserve">The model (the vehicle, not the contribution).</w:t>
      </w:r>
      <w:r>
        <w:t xml:space="preserve"> </w:t>
      </w:r>
      <w:r>
        <w:t xml:space="preserve">We built a fully open, commercial-safe,</w:t>
      </w:r>
      <w:r>
        <w:t xml:space="preserve"> </w:t>
      </w:r>
      <w:r>
        <w:rPr>
          <w:i/>
          <w:iCs/>
        </w:rPr>
        <w:t xml:space="preserve">screening-grade</w:t>
      </w:r>
      <w:r>
        <w:t xml:space="preserve"> </w:t>
      </w:r>
      <w:r>
        <w:t xml:space="preserve">multi-hazard model for Singapore at 30 m: a local-inertial rain-on-grid pluvial</w:t>
      </w:r>
      <w:r>
        <w:t xml:space="preserve"> </w:t>
      </w:r>
      <w:r>
        <w:t xml:space="preserve">layer (Bates et al., 2010) on an independently derived bare-earth surface — Copernicus GLO-30</w:t>
      </w:r>
      <w:r>
        <w:t xml:space="preserve"> </w:t>
      </w:r>
      <w:r>
        <w:t xml:space="preserve">(ESA/Airbus, 2022) with buildings removed using Google Open Buildings footprints (Sirko et al.,</w:t>
      </w:r>
      <w:r>
        <w:t xml:space="preserve"> </w:t>
      </w:r>
      <w:r>
        <w:t xml:space="preserve">2021), avoiding the non-commercial FABDEM — plus Height-Above-Nearest-Drainage fluvial (Nobre et</w:t>
      </w:r>
      <w:r>
        <w:t xml:space="preserve"> </w:t>
      </w:r>
      <w:r>
        <w:t xml:space="preserve">al., 2011) and a bathtub coastal layer on tide-gauge GEV levels (Coles, 2001; Caldwell et al.,</w:t>
      </w:r>
      <w:r>
        <w:t xml:space="preserve"> </w:t>
      </w:r>
      <w:r>
        <w:t xml:space="preserve">2015) with AR6 sea-level rise (Fox-Kemper et al., 2021). The pluvial layer carries the comparison;</w:t>
      </w:r>
      <w:r>
        <w:t xml:space="preserve"> </w:t>
      </w:r>
      <w:r>
        <w:t xml:space="preserve">full model details are reported separately. One fact matters for what follows: the rain-on-grid is</w:t>
      </w:r>
      <w:r>
        <w:t xml:space="preserve"> </w:t>
      </w:r>
      <w:r>
        <w:t xml:space="preserve">forced by a</w:t>
      </w:r>
      <w:r>
        <w:t xml:space="preserve"> </w:t>
      </w:r>
      <w:r>
        <w:rPr>
          <w:i/>
          <w:iCs/>
        </w:rPr>
        <w:t xml:space="preserve">net-excess</w:t>
      </w:r>
      <w:r>
        <w:t xml:space="preserve"> </w:t>
      </w:r>
      <w:r>
        <w:t xml:space="preserve">depth (design rainfall minus design drainage capacity), which at a 50-year</w:t>
      </w:r>
      <w:r>
        <w:t xml:space="preserve"> </w:t>
      </w:r>
      <w:r>
        <w:t xml:space="preserve">return period is only ~4 cm, so the model floods just</w:t>
      </w:r>
      <w:r>
        <w:t xml:space="preserve"> </w:t>
      </w:r>
      <w:r>
        <w:rPr>
          <w:b/>
          <w:bCs/>
        </w:rPr>
        <w:t xml:space="preserve">1.85% of land</w:t>
      </w:r>
      <w:r>
        <w:t xml:space="preserve"> </w:t>
      </w:r>
      <w:r>
        <w:t xml:space="preserve">at ≥0.10 m — versus TWI’s</w:t>
      </w:r>
      <w:r>
        <w:t xml:space="preserve"> </w:t>
      </w:r>
      <w:r>
        <w:t xml:space="preserve">15% by construction. It is, by design, conservative.</w:t>
      </w:r>
    </w:p>
    <w:p>
      <w:pPr>
        <w:pStyle w:val="BodyText"/>
      </w:pPr>
      <w:r>
        <w:t xml:space="preserve">We score the pluvial layer against all 36 PUB flood-prone areas (authoritatively geocoded) plus two</w:t>
      </w:r>
      <w:r>
        <w:t xml:space="preserve"> </w:t>
      </w:r>
      <w:r>
        <w:t xml:space="preserve">depth-bearing historical events — 38 positives — and 20 documented dry controls. The same model and</w:t>
      </w:r>
      <w:r>
        <w:t xml:space="preserve"> </w:t>
      </w:r>
      <w:r>
        <w:t xml:space="preserve">data give four verdicts:</w:t>
      </w:r>
    </w:p>
    <w:p>
      <w:pPr>
        <w:pStyle w:val="BodyText"/>
      </w:pPr>
      <w:r>
        <w:rPr>
          <w:b/>
          <w:bCs/>
        </w:rPr>
        <w:t xml:space="preserve">Verdict 1 —</w:t>
      </w:r>
      <w:r>
        <w:rPr>
          <w:b/>
          <w:bCs/>
        </w:rPr>
        <w:t xml:space="preserve"> </w:t>
      </w:r>
      <w:r>
        <w:rPr>
          <w:b/>
          <w:bCs/>
        </w:rPr>
        <w:t xml:space="preserve">“validated.”</w:t>
      </w:r>
      <w:r>
        <w:t xml:space="preserve"> </w:t>
      </w:r>
      <w:r>
        <w:t xml:space="preserve">Hit-rate / ROC-AUC against the register alone: AUC 0.65. Reported on</w:t>
      </w:r>
      <w:r>
        <w:t xml:space="preserve"> </w:t>
      </w:r>
      <w:r>
        <w:t xml:space="preserve">its own, the model reads as validated.</w:t>
      </w:r>
    </w:p>
    <w:p>
      <w:pPr>
        <w:pStyle w:val="BodyText"/>
      </w:pPr>
      <w:r>
        <w:rPr>
          <w:b/>
          <w:bCs/>
        </w:rPr>
        <w:t xml:space="preserve">Verdict 2 —</w:t>
      </w:r>
      <w:r>
        <w:rPr>
          <w:b/>
          <w:bCs/>
        </w:rPr>
        <w:t xml:space="preserve"> </w:t>
      </w:r>
      <w:r>
        <w:rPr>
          <w:b/>
          <w:bCs/>
        </w:rPr>
        <w:t xml:space="preserve">“no better than topography.”</w:t>
      </w:r>
      <w:r>
        <w:t xml:space="preserve"> </w:t>
      </w:r>
      <w:r>
        <w:t xml:space="preserve">Add the naive wetness index on the same points: TWI</w:t>
      </w:r>
      <w:r>
        <w:t xml:space="preserve"> </w:t>
      </w:r>
      <w:r>
        <w:t xml:space="preserve">scores AUC 0.75,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than the model, and the paired difference is not significant (ΔAUC −0.10,</w:t>
      </w:r>
      <w:r>
        <w:t xml:space="preserve"> </w:t>
      </w:r>
      <w:r>
        <w:t xml:space="preserve">95% CI [−0.32, +0.11]); the TSS comparison is likewise indistinguishable. The register is mostly</w:t>
      </w:r>
      <w:r>
        <w:t xml:space="preserve"> </w:t>
      </w:r>
      <w:r>
        <w:t xml:space="preserve">low convergent ground a free index already captures (its hit-rate is 0.92). The calibrated model</w:t>
      </w:r>
      <w:r>
        <w:t xml:space="preserve"> </w:t>
      </w:r>
      <w:r>
        <w:t xml:space="preserve">does not out-</w:t>
      </w:r>
      <w:r>
        <w:rPr>
          <w:i/>
          <w:iCs/>
        </w:rPr>
        <w:t xml:space="preserve">locate</w:t>
      </w:r>
      <w:r>
        <w:t xml:space="preserve"> </w:t>
      </w:r>
      <w:r>
        <w:t xml:space="preserve">topography.</w:t>
      </w:r>
    </w:p>
    <w:p>
      <w:pPr>
        <w:pStyle w:val="BodyText"/>
      </w:pPr>
      <w:r>
        <w:rPr>
          <w:b/>
          <w:bCs/>
        </w:rPr>
        <w:t xml:space="preserve">Verdict 3 —</w:t>
      </w:r>
      <w:r>
        <w:rPr>
          <w:b/>
          <w:bCs/>
        </w:rPr>
        <w:t xml:space="preserve"> </w:t>
      </w:r>
      <w:r>
        <w:rPr>
          <w:b/>
          <w:bCs/>
        </w:rPr>
        <w:t xml:space="preserve">“significantly more specific”</w:t>
      </w:r>
      <w:r>
        <w:rPr>
          <w:b/>
          <w:bCs/>
        </w:rPr>
        <w:t xml:space="preserve"> </w:t>
      </w:r>
      <w:r>
        <w:rPr>
          <w:b/>
          <w:bCs/>
        </w:rPr>
        <w:t xml:space="preserve">(an operating-point artifact).</w:t>
      </w:r>
      <w:r>
        <w:t xml:space="preserve"> </w:t>
      </w:r>
      <w:r>
        <w:t xml:space="preserve">At a fixed 0.10 m</w:t>
      </w:r>
      <w:r>
        <w:t xml:space="preserve"> </w:t>
      </w:r>
      <w:r>
        <w:t xml:space="preserve">threshold the model correctly rejects 65% of dry controls versus TWI’s 30%, which reads as a large</w:t>
      </w:r>
      <w:r>
        <w:t xml:space="preserve"> </w:t>
      </w:r>
      <w:r>
        <w:t xml:space="preserve">specificity win. But the model floods one-eighth the land of TWI, so it is being compared at a far</w:t>
      </w:r>
      <w:r>
        <w:t xml:space="preserve"> </w:t>
      </w:r>
      <w:r>
        <w:t xml:space="preserve">lower sensitivity. Hold specificity equal — threshold TWI to the same correct-reject rate — and</w:t>
      </w:r>
      <w:r>
        <w:t xml:space="preserve"> </w:t>
      </w:r>
      <w:r>
        <w:t xml:space="preserve">TWI’s hit-rate is</w:t>
      </w:r>
      <w:r>
        <w:t xml:space="preserve"> </w:t>
      </w:r>
      <w:r>
        <w:rPr>
          <w:b/>
          <w:bCs/>
        </w:rPr>
        <w:t xml:space="preserve">0.71</w:t>
      </w:r>
      <w:r>
        <w:t xml:space="preserve"> </w:t>
      </w:r>
      <w:r>
        <w:t xml:space="preserve">against the model’s</w:t>
      </w:r>
      <w:r>
        <w:t xml:space="preserve"> </w:t>
      </w:r>
      <w:r>
        <w:rPr>
          <w:b/>
          <w:bCs/>
        </w:rPr>
        <w:t xml:space="preserve">0.39</w:t>
      </w:r>
      <w:r>
        <w:t xml:space="preserve">. The</w:t>
      </w:r>
      <w:r>
        <w:t xml:space="preserve"> </w:t>
      </w:r>
      <w:r>
        <w:t xml:space="preserve">“advantage”</w:t>
      </w:r>
      <w:r>
        <w:t xml:space="preserve"> </w:t>
      </w:r>
      <w:r>
        <w:t xml:space="preserve">is a property of the</w:t>
      </w:r>
      <w:r>
        <w:t xml:space="preserve"> </w:t>
      </w:r>
      <w:r>
        <w:t xml:space="preserve">operating point, not of discrimination.</w:t>
      </w:r>
    </w:p>
    <w:p>
      <w:pPr>
        <w:pStyle w:val="BodyText"/>
      </w:pPr>
      <w:r>
        <w:rPr>
          <w:b/>
          <w:bCs/>
        </w:rPr>
        <w:t xml:space="preserve">Verdict 4 —</w:t>
      </w:r>
      <w:r>
        <w:rPr>
          <w:b/>
          <w:bCs/>
        </w:rPr>
        <w:t xml:space="preserve"> </w:t>
      </w:r>
      <w:r>
        <w:rPr>
          <w:b/>
          <w:bCs/>
        </w:rPr>
        <w:t xml:space="preserve">“better, but only against the general landscape.”</w:t>
      </w:r>
      <w:r>
        <w:t xml:space="preserve"> </w:t>
      </w:r>
      <w:r>
        <w:t xml:space="preserve">The verdict swings with the</w:t>
      </w:r>
      <w:r>
        <w:t xml:space="preserve"> </w:t>
      </w:r>
      <w:r>
        <w:t xml:space="preserve">negatives chosen (Figure 1). Against random land the model discriminates flood-prone terrain</w:t>
      </w:r>
      <w:r>
        <w:t xml:space="preserve"> </w:t>
      </w:r>
      <w:r>
        <w:rPr>
          <w:i/>
          <w:iCs/>
        </w:rPr>
        <w:t xml:space="preserve">significantly</w:t>
      </w:r>
      <w:r>
        <w:t xml:space="preserve"> </w:t>
      </w:r>
      <w:r>
        <w:t xml:space="preserve">better than TWI (ΔAUC +0.14, 95% CI [+0.04, +0.24] at n=300, point estimate</w:t>
      </w:r>
      <w:r>
        <w:t xml:space="preserve"> </w:t>
      </w:r>
      <w:r>
        <w:t xml:space="preserve">+0.12 to +0.28 and excluding zero in five of six random samples) — a genuine, threshold-free edge.</w:t>
      </w:r>
      <w:r>
        <w:t xml:space="preserve"> </w:t>
      </w:r>
      <w:r>
        <w:t xml:space="preserve">But against the low-lying-but-dry developed areas — the case that governs false alarms in a</w:t>
      </w:r>
      <w:r>
        <w:t xml:space="preserve"> </w:t>
      </w:r>
      <w:r>
        <w:t xml:space="preserve">low-lying city — the two are</w:t>
      </w:r>
      <w:r>
        <w:t xml:space="preserve"> </w:t>
      </w:r>
      <w:r>
        <w:rPr>
          <w:b/>
          <w:bCs/>
        </w:rPr>
        <w:t xml:space="preserve">statistically indistinguishable</w:t>
      </w:r>
      <w:r>
        <w:t xml:space="preserve"> </w:t>
      </w:r>
      <w:r>
        <w:t xml:space="preserve">(model 0.65, TWI 0.75; ΔAUC −0.10,</w:t>
      </w:r>
      <w:r>
        <w:t xml:space="preserve"> </w:t>
      </w:r>
      <w:r>
        <w:t xml:space="preserve">95% CI [−0.32, +0.11]): TWI is nominally higher, but the difference is within sampling noise. The</w:t>
      </w:r>
      <w:r>
        <w:t xml:space="preserve"> </w:t>
      </w:r>
      <w:r>
        <w:t xml:space="preserve">model finds flood-prone ground in the landscape better than a wetness index;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distinguish flood-prone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ground from ordinary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ground any better than topography does.</w:t>
      </w:r>
    </w:p>
    <w:p>
      <w:pPr>
        <w:pStyle w:val="CaptionedFigure"/>
      </w:pPr>
      <w:r>
        <w:drawing>
          <wp:inline>
            <wp:extent cx="5334000" cy="2665549"/>
            <wp:effectExtent b="0" l="0" r="0" t="0"/>
            <wp:docPr descr="Figure 1. The comparative verdict swings with the negative set (present-day field, 38 flood positives). Left: against low-lying-but-dry developed areas (the decision-relevant negatives), the naive wetness index (TWI) is nominally higher than the calibrated model (AUC 0.75 vs 0.65) but the difference is not significant (paired ΔAUC −0.10, 95% CI [−0.32, +0.11]) — a tie. Right: against random land, the model ranks significantly better (0.76 vs 0.59; ΔAUC +0.14, CI excludes zero). The same two methods, opposite conclusions, from the choice of negatives alone." title="" id="13" name="Picture"/>
            <a:graphic>
              <a:graphicData uri="http://schemas.openxmlformats.org/drawingml/2006/picture">
                <pic:pic>
                  <pic:nvPicPr>
                    <pic:cNvPr descr="figures/fig5_roc_fli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The comparative verdict swings with the negative set (present-day field, 38 flood positives). Left: against low-lying-but-dry developed areas (the decision-relevant negatives), the naive wetness index (TWI) is nominally higher than the calibrated model (AUC 0.75 vs 0.65) but the difference is not significant (paired ΔAUC −0.10, 95% CI [−0.32, +0.11]) — a tie. Right: against random land, the model ranks significantly better (0.76 vs 0.59; ΔAUC +0.14, CI excludes zero). The same two methods, opposite conclusions, from the choice of negatives alone.</w:t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The same two methods give opposite verdicts depending only on the negative set.</w:t>
      </w:r>
    </w:p>
    <w:p>
      <w:pPr>
        <w:pStyle w:val="BodyText"/>
      </w:pPr>
      <w:r>
        <w:rPr>
          <w:b/>
          <w:bCs/>
        </w:rPr>
        <w:t xml:space="preserve">Synthesis.</w:t>
      </w:r>
      <w:r>
        <w:t xml:space="preserve"> </w:t>
      </w:r>
      <w:r>
        <w:t xml:space="preserve">From one model and one register we obtained</w:t>
      </w:r>
      <w:r>
        <w:t xml:space="preserve"> </w:t>
      </w:r>
      <w:r>
        <w:t xml:space="preserve">“validated,”</w:t>
      </w:r>
      <w:r>
        <w:t xml:space="preserve"> </w:t>
      </w:r>
      <w:r>
        <w:t xml:space="preserve">“no better than</w:t>
      </w:r>
      <w:r>
        <w:t xml:space="preserve"> </w:t>
      </w:r>
      <w:r>
        <w:t xml:space="preserve">topography,”</w:t>
      </w:r>
      <w:r>
        <w:t xml:space="preserve"> </w:t>
      </w:r>
      <w:r>
        <w:t xml:space="preserve">“significantly more specific,”</w:t>
      </w:r>
      <w:r>
        <w:t xml:space="preserve"> </w:t>
      </w:r>
      <w:r>
        <w:t xml:space="preserve">and</w:t>
      </w:r>
      <w:r>
        <w:t xml:space="preserve"> </w:t>
      </w:r>
      <w:r>
        <w:t xml:space="preserve">“better only against random land”</w:t>
      </w:r>
      <w:r>
        <w:t xml:space="preserve"> </w:t>
      </w:r>
      <w:r>
        <w:t xml:space="preserve">— the conclusion</w:t>
      </w:r>
      <w:r>
        <w:t xml:space="preserve"> </w:t>
      </w:r>
      <w:r>
        <w:t xml:space="preserve">was set by the test design, not by the model. The model’s</w:t>
      </w:r>
      <w:r>
        <w:t xml:space="preserve"> </w:t>
      </w:r>
      <w:r>
        <w:rPr>
          <w:i/>
          <w:iCs/>
        </w:rPr>
        <w:t xml:space="preserve">defensible</w:t>
      </w:r>
      <w:r>
        <w:t xml:space="preserve"> </w:t>
      </w:r>
      <w:r>
        <w:t xml:space="preserve">value is not superior</w:t>
      </w:r>
      <w:r>
        <w:t xml:space="preserve"> </w:t>
      </w:r>
      <w:r>
        <w:t xml:space="preserve">location skill but the things a wetness index cannot provide at all: a physical depth field, an</w:t>
      </w:r>
      <w:r>
        <w:t xml:space="preserve"> </w:t>
      </w:r>
      <w:r>
        <w:t xml:space="preserve">explicit drainage mechanism, and climate-scenario projection. A validation that reports only a</w:t>
      </w:r>
      <w:r>
        <w:t xml:space="preserve"> </w:t>
      </w:r>
      <w:r>
        <w:t xml:space="preserve">hit-rate would have claimed far more.</w:t>
      </w:r>
    </w:p>
    <w:bookmarkEnd w:id="15"/>
    <w:bookmarkStart w:id="16" w:name="tangible-takeaways"/>
    <w:p>
      <w:pPr>
        <w:pStyle w:val="Heading2"/>
      </w:pPr>
      <w:r>
        <w:t xml:space="preserve">4. Tangible takeaways</w:t>
      </w:r>
    </w:p>
    <w:p>
      <w:pPr>
        <w:pStyle w:val="FirstParagraph"/>
      </w:pPr>
      <w:r>
        <w:t xml:space="preserve">A checklist to make open flood-model comparisons honest and portable: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Anchor positives to an authoritative, current register</w:t>
      </w:r>
      <w:r>
        <w:t xml:space="preserve">; geocode with a real gazetteer (not</w:t>
      </w:r>
      <w:r>
        <w:t xml:space="preserve"> </w:t>
      </w:r>
      <w:r>
        <w:t xml:space="preserve">hand-typed pins) and cross-check against the terrain.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at least one naive open baseline</w:t>
      </w:r>
      <w:r>
        <w:t xml:space="preserve"> </w:t>
      </w:r>
      <w:r>
        <w:t xml:space="preserve">(a wetness index). If free topography</w:t>
      </w:r>
      <w:r>
        <w:t xml:space="preserve"> </w:t>
      </w:r>
      <w:r>
        <w:t xml:space="preserve">matches your model, calibration has not earned a location claim — say 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Include documented dry controls in two tiers</w:t>
      </w:r>
      <w:r>
        <w:t xml:space="preserve"> </w:t>
      </w:r>
      <w:r>
        <w:t xml:space="preserve">— elevated, and low-lying developed sites</w:t>
      </w:r>
      <w:r>
        <w:t xml:space="preserve"> </w:t>
      </w:r>
      <w:r>
        <w:t xml:space="preserve">absent from the register — selected model-blind.</w:t>
      </w:r>
      <w:r>
        <w:t xml:space="preserve"> </w:t>
      </w:r>
      <w:r>
        <w:rPr>
          <w:b/>
          <w:bCs/>
        </w:rPr>
        <w:t xml:space="preserve">Report against both random and discriminating</w:t>
      </w:r>
      <w:r>
        <w:rPr>
          <w:b/>
          <w:bCs/>
        </w:rPr>
        <w:t xml:space="preserve"> </w:t>
      </w:r>
      <w:r>
        <w:rPr>
          <w:b/>
          <w:bCs/>
        </w:rPr>
        <w:t xml:space="preserve">negatives, and expect the verdict to depend on which</w:t>
      </w:r>
      <w:r>
        <w:t xml:space="preserve">: a model can win against the landscape and</w:t>
      </w:r>
      <w:r>
        <w:t xml:space="preserve"> </w:t>
      </w:r>
      <w:r>
        <w:t xml:space="preserve">lose against low-lying-but-dry land.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threshold-free metrics (ROC-AUC).</w:t>
      </w:r>
      <w:r>
        <w:t xml:space="preserve"> </w:t>
      </w:r>
      <w:r>
        <w:t xml:space="preserve">A fixed depth cutoff confounds</w:t>
      </w:r>
      <w:r>
        <w:t xml:space="preserve"> </w:t>
      </w:r>
      <w:r>
        <w:t xml:space="preserve">“specificity”</w:t>
      </w:r>
      <w:r>
        <w:t xml:space="preserve"> </w:t>
      </w:r>
      <w:r>
        <w:t xml:space="preserve">with</w:t>
      </w:r>
      <w:r>
        <w:t xml:space="preserve"> </w:t>
      </w:r>
      <w:r>
        <w:t xml:space="preserve">how much land a model floods; a conservative model looks specific for the wrong reason.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you report a fixed operating point, compare at matched sensitivity or specificity</w:t>
      </w:r>
      <w:r>
        <w:t xml:space="preserve"> </w:t>
      </w:r>
      <w:r>
        <w:t xml:space="preserve">— never</w:t>
      </w:r>
      <w:r>
        <w:t xml:space="preserve"> </w:t>
      </w:r>
      <w:r>
        <w:t xml:space="preserve">at each method’s arbitrary default (15% wettest land for an index, a depth threshold for a</w:t>
      </w:r>
      <w:r>
        <w:t xml:space="preserve"> </w:t>
      </w:r>
      <w:r>
        <w:t xml:space="preserve">model).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Attach paired bootstrap confidence intervals</w:t>
      </w:r>
      <w:r>
        <w:t xml:space="preserve">; claim a comparative result only when the</w:t>
      </w:r>
      <w:r>
        <w:t xml:space="preserve"> </w:t>
      </w:r>
      <w:r>
        <w:t xml:space="preserve">interval excludes zero.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Pre-register the scoring parameters</w:t>
      </w:r>
      <w:r>
        <w:t xml:space="preserve"> </w:t>
      </w:r>
      <w:r>
        <w:t xml:space="preserve">and resist moving them to improve the verdict.</w:t>
      </w:r>
    </w:p>
    <w:bookmarkEnd w:id="16"/>
    <w:bookmarkStart w:id="17" w:name="transferability-and-limitations"/>
    <w:p>
      <w:pPr>
        <w:pStyle w:val="Heading2"/>
      </w:pPr>
      <w:r>
        <w:t xml:space="preserve">5. Transferability and limitations</w:t>
      </w:r>
    </w:p>
    <w:p>
      <w:pPr>
        <w:pStyle w:val="FirstParagraph"/>
      </w:pPr>
      <w:r>
        <w:t xml:space="preserve">The benchmark is city-agnostic: every ingredient is reproducible wherever an authority publishes a</w:t>
      </w:r>
      <w:r>
        <w:t xml:space="preserve"> </w:t>
      </w:r>
      <w:r>
        <w:t xml:space="preserve">flood-prone register, and the whole test runs in seconds once the rasters exist. We demonstrate it</w:t>
      </w:r>
      <w:r>
        <w:t xml:space="preserve"> </w:t>
      </w:r>
      <w:r>
        <w:t xml:space="preserve">on a single city and a single comparative hazard (pluvial); establishing how strong a baseline</w:t>
      </w:r>
      <w:r>
        <w:t xml:space="preserve"> </w:t>
      </w:r>
      <w:r>
        <w:t xml:space="preserve">naive topography is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cities is the natural next study, strongest where mapped event extents</w:t>
      </w:r>
      <w:r>
        <w:t xml:space="preserve"> </w:t>
      </w:r>
      <w:r>
        <w:t xml:space="preserve">also exist (enabling an extent-based Critical Success Index). The register is modest (38 positives,</w:t>
      </w:r>
      <w:r>
        <w:t xml:space="preserve"> </w:t>
      </w:r>
      <w:r>
        <w:t xml:space="preserve">20 controls), so no model-vs-topography ranking is supportable in either direction with confidence —</w:t>
      </w:r>
      <w:r>
        <w:t xml:space="preserve"> </w:t>
      </w:r>
      <w:r>
        <w:t xml:space="preserve">which is itself the point. The contribution here is not the Singapore numbers but the practice: a</w:t>
      </w:r>
      <w:r>
        <w:t xml:space="preserve"> </w:t>
      </w:r>
      <w:r>
        <w:t xml:space="preserve">documented-register benchmark with naive baselines, two-tier dry controls, threshold-free metrics,</w:t>
      </w:r>
      <w:r>
        <w:t xml:space="preserve"> </w:t>
      </w:r>
      <w:r>
        <w:t xml:space="preserve">matched operating points and confidence intervals turns</w:t>
      </w:r>
      <w:r>
        <w:t xml:space="preserve"> </w:t>
      </w:r>
      <w:r>
        <w:t xml:space="preserve">“my model flags the known flood spots”</w:t>
      </w:r>
      <w:r>
        <w:t xml:space="preserve"> </w:t>
      </w:r>
      <w:r>
        <w:t xml:space="preserve">—</w:t>
      </w:r>
      <w:r>
        <w:t xml:space="preserve"> </w:t>
      </w:r>
      <w:r>
        <w:t xml:space="preserve">which proves little — into a defensible, reproducible statement about whether, and on which axis,</w:t>
      </w:r>
      <w:r>
        <w:t xml:space="preserve"> </w:t>
      </w:r>
      <w:r>
        <w:t xml:space="preserve">calibration adds value.</w:t>
      </w:r>
    </w:p>
    <w:bookmarkEnd w:id="17"/>
    <w:bookmarkStart w:id="18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The model, the documented register (positives and dry controls), the validation code, and the</w:t>
      </w:r>
      <w:r>
        <w:t xml:space="preserve"> </w:t>
      </w:r>
      <w:r>
        <w:t xml:space="preserve">figure scripts are openly available at [repository / DOI — TBD]; reported numbers are frozen at</w:t>
      </w:r>
      <w:r>
        <w:t xml:space="preserve"> </w:t>
      </w:r>
      <w:r>
        <w:t xml:space="preserve">commit [hash — TBD]. All inputs are open and licensed for commercial use.</w:t>
      </w:r>
    </w:p>
    <w:bookmarkEnd w:id="18"/>
    <w:bookmarkStart w:id="1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Bates, P. D., Horritt, M. S., &amp; Fewtrell, T. J. (2010). A simple inertial formulation of the</w:t>
      </w:r>
      <w:r>
        <w:t xml:space="preserve"> </w:t>
      </w:r>
      <w:r>
        <w:t xml:space="preserve">shallow water equations for efficient two-dimensional flood inundation modelling.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Hydrology, 387</w:t>
      </w:r>
      <w:r>
        <w:t xml:space="preserve">(1–2), 33–45.</w:t>
      </w:r>
    </w:p>
    <w:p>
      <w:pPr>
        <w:pStyle w:val="BodyText"/>
      </w:pPr>
      <w:r>
        <w:t xml:space="preserve">Beven, K. J., &amp; Kirkby, M. J. (1979). A physically based, variable contributing area model of</w:t>
      </w:r>
      <w:r>
        <w:t xml:space="preserve"> </w:t>
      </w:r>
      <w:r>
        <w:t xml:space="preserve">basin hydrology.</w:t>
      </w:r>
      <w:r>
        <w:t xml:space="preserve"> </w:t>
      </w:r>
      <w:r>
        <w:rPr>
          <w:i/>
          <w:iCs/>
        </w:rPr>
        <w:t xml:space="preserve">Hydrological Sciences Bulletin, 24</w:t>
      </w:r>
      <w:r>
        <w:t xml:space="preserve">(1), 43–69.</w:t>
      </w:r>
    </w:p>
    <w:p>
      <w:pPr>
        <w:pStyle w:val="BodyText"/>
      </w:pPr>
      <w:r>
        <w:t xml:space="preserve">Caldwell, P. C., Merrifield, M. A., &amp; Thompson, P. R. (2015).</w:t>
      </w:r>
      <w:r>
        <w:t xml:space="preserve"> </w:t>
      </w:r>
      <w:r>
        <w:rPr>
          <w:i/>
          <w:iCs/>
        </w:rPr>
        <w:t xml:space="preserve">Sea level measured by tide gauges</w:t>
      </w:r>
      <w:r>
        <w:rPr>
          <w:i/>
          <w:iCs/>
        </w:rPr>
        <w:t xml:space="preserve"> </w:t>
      </w:r>
      <w:r>
        <w:rPr>
          <w:i/>
          <w:iCs/>
        </w:rPr>
        <w:t xml:space="preserve">from global oceans — the Joint Archive for Sea Level holdings (NCEI Accession 0019568).</w:t>
      </w:r>
      <w:r>
        <w:t xml:space="preserve"> </w:t>
      </w:r>
      <w:r>
        <w:t xml:space="preserve">University of Hawaii Sea Level Center. https://doi.org/10.7289/V5V40S7W</w:t>
      </w:r>
    </w:p>
    <w:p>
      <w:pPr>
        <w:pStyle w:val="BodyText"/>
      </w:pPr>
      <w:r>
        <w:t xml:space="preserve">Coles, S. (2001).</w:t>
      </w:r>
      <w:r>
        <w:t xml:space="preserve"> </w:t>
      </w:r>
      <w:r>
        <w:rPr>
          <w:i/>
          <w:iCs/>
        </w:rPr>
        <w:t xml:space="preserve">An introduction to statistical modeling of extreme values.</w:t>
      </w:r>
      <w:r>
        <w:t xml:space="preserve"> </w:t>
      </w:r>
      <w:r>
        <w:t xml:space="preserve">Springer.</w:t>
      </w:r>
    </w:p>
    <w:p>
      <w:pPr>
        <w:pStyle w:val="BodyText"/>
      </w:pPr>
      <w:r>
        <w:t xml:space="preserve">Efron, B., &amp; Tibshirani, R. J. (1993).</w:t>
      </w:r>
      <w:r>
        <w:t xml:space="preserve"> </w:t>
      </w:r>
      <w:r>
        <w:rPr>
          <w:i/>
          <w:iCs/>
        </w:rPr>
        <w:t xml:space="preserve">An introduction to the bootstrap.</w:t>
      </w:r>
      <w:r>
        <w:t xml:space="preserve"> </w:t>
      </w:r>
      <w:r>
        <w:t xml:space="preserve">Chapman &amp; Hall/CRC.</w:t>
      </w:r>
    </w:p>
    <w:p>
      <w:pPr>
        <w:pStyle w:val="BodyText"/>
      </w:pPr>
      <w:r>
        <w:t xml:space="preserve">European Space Agency, &amp; Airbus. (2022).</w:t>
      </w:r>
      <w:r>
        <w:t xml:space="preserve"> </w:t>
      </w:r>
      <w:r>
        <w:rPr>
          <w:i/>
          <w:iCs/>
        </w:rPr>
        <w:t xml:space="preserve">Copernicus Global Digital Elevation Model (GLO-30).</w:t>
      </w:r>
      <w:r>
        <w:t xml:space="preserve"> </w:t>
      </w:r>
      <w:r>
        <w:t xml:space="preserve">Copernicus DEM Product Handbook.</w:t>
      </w:r>
    </w:p>
    <w:p>
      <w:pPr>
        <w:pStyle w:val="BodyText"/>
      </w:pPr>
      <w:r>
        <w:t xml:space="preserve">Fox-Kemper, B., Hewitt, H. T., Xiao, C., et al. (2021). Ocean, cryosphere and sea level change.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Climate change 2021: The physical science basis</w:t>
      </w:r>
      <w:r>
        <w:t xml:space="preserve"> </w:t>
      </w:r>
      <w:r>
        <w:t xml:space="preserve">(pp. 1211–1362). Cambridge University Press.</w:t>
      </w:r>
    </w:p>
    <w:p>
      <w:pPr>
        <w:pStyle w:val="BodyText"/>
      </w:pPr>
      <w:r>
        <w:t xml:space="preserve">Hanley, J. A., &amp; McNeil, B. J. (1982). The meaning and use of the area under a receiver operating</w:t>
      </w:r>
      <w:r>
        <w:t xml:space="preserve"> </w:t>
      </w:r>
      <w:r>
        <w:t xml:space="preserve">characteristic (ROC) curve.</w:t>
      </w:r>
      <w:r>
        <w:t xml:space="preserve"> </w:t>
      </w:r>
      <w:r>
        <w:rPr>
          <w:i/>
          <w:iCs/>
        </w:rPr>
        <w:t xml:space="preserve">Radiology, 143</w:t>
      </w:r>
      <w:r>
        <w:t xml:space="preserve">(1), 29–36.</w:t>
      </w:r>
    </w:p>
    <w:p>
      <w:pPr>
        <w:pStyle w:val="BodyText"/>
      </w:pPr>
      <w:r>
        <w:t xml:space="preserve">Hanssen, A. W., &amp; Kuipers, W. J. A. (1965). On the relationship between the frequency of rain and</w:t>
      </w:r>
      <w:r>
        <w:t xml:space="preserve"> </w:t>
      </w:r>
      <w:r>
        <w:t xml:space="preserve">various meteorological parameters.</w:t>
      </w:r>
      <w:r>
        <w:t xml:space="preserve"> </w:t>
      </w:r>
      <w:r>
        <w:rPr>
          <w:i/>
          <w:iCs/>
        </w:rPr>
        <w:t xml:space="preserve">Mededelingen en Verhandelingen, 81.</w:t>
      </w:r>
      <w:r>
        <w:t xml:space="preserve"> </w:t>
      </w:r>
      <w:r>
        <w:t xml:space="preserve">KNMI.</w:t>
      </w:r>
    </w:p>
    <w:p>
      <w:pPr>
        <w:pStyle w:val="BodyText"/>
      </w:pPr>
      <w:r>
        <w:t xml:space="preserve">Nobre, A. D., Cuartas, L. A., Hodnett, M., et al. (2011). Height Above the Nearest Drainage — a</w:t>
      </w:r>
      <w:r>
        <w:t xml:space="preserve"> </w:t>
      </w:r>
      <w:r>
        <w:t xml:space="preserve">hydrologically relevant new terrain model.</w:t>
      </w:r>
      <w:r>
        <w:t xml:space="preserve"> </w:t>
      </w:r>
      <w:r>
        <w:rPr>
          <w:i/>
          <w:iCs/>
        </w:rPr>
        <w:t xml:space="preserve">Journal of Hydrology, 404</w:t>
      </w:r>
      <w:r>
        <w:t xml:space="preserve">(1–2), 13–29.</w:t>
      </w:r>
    </w:p>
    <w:p>
      <w:pPr>
        <w:pStyle w:val="BodyText"/>
      </w:pPr>
      <w:r>
        <w:t xml:space="preserve">Peirce, C. S. (1884). The numerical measure of the success of predictions.</w:t>
      </w:r>
      <w:r>
        <w:t xml:space="preserve"> </w:t>
      </w:r>
      <w:r>
        <w:rPr>
          <w:i/>
          <w:iCs/>
        </w:rPr>
        <w:t xml:space="preserve">Science, 4</w:t>
      </w:r>
      <w:r>
        <w:t xml:space="preserve">(93),</w:t>
      </w:r>
      <w:r>
        <w:t xml:space="preserve"> </w:t>
      </w:r>
      <w:r>
        <w:t xml:space="preserve">453–454.</w:t>
      </w:r>
    </w:p>
    <w:p>
      <w:pPr>
        <w:pStyle w:val="BodyText"/>
      </w:pPr>
      <w:r>
        <w:t xml:space="preserve">PUB, Singapore’s National Water Agency. (2025).</w:t>
      </w:r>
      <w:r>
        <w:t xml:space="preserve"> </w:t>
      </w:r>
      <w:r>
        <w:rPr>
          <w:i/>
          <w:iCs/>
        </w:rPr>
        <w:t xml:space="preserve">List of flood-prone areas in Singapore (as at</w:t>
      </w:r>
      <w:r>
        <w:rPr>
          <w:i/>
          <w:iCs/>
        </w:rPr>
        <w:t xml:space="preserve"> </w:t>
      </w:r>
      <w:r>
        <w:rPr>
          <w:i/>
          <w:iCs/>
        </w:rPr>
        <w:t xml:space="preserve">Nov 2025).</w:t>
      </w:r>
      <w:r>
        <w:t xml:space="preserve"> </w:t>
      </w:r>
      <w:r>
        <w:t xml:space="preserve">https://www.pub.gov.sg</w:t>
      </w:r>
    </w:p>
    <w:p>
      <w:pPr>
        <w:pStyle w:val="BodyText"/>
      </w:pPr>
      <w:r>
        <w:t xml:space="preserve">Sirko, W., Kashubin, S., Ritter, M., et al. (2021).</w:t>
      </w:r>
      <w:r>
        <w:t xml:space="preserve"> </w:t>
      </w:r>
      <w:r>
        <w:rPr>
          <w:i/>
          <w:iCs/>
        </w:rPr>
        <w:t xml:space="preserve">Continental-scale building detection from</w:t>
      </w:r>
      <w:r>
        <w:rPr>
          <w:i/>
          <w:iCs/>
        </w:rPr>
        <w:t xml:space="preserve"> </w:t>
      </w:r>
      <w:r>
        <w:rPr>
          <w:i/>
          <w:iCs/>
        </w:rPr>
        <w:t xml:space="preserve">high-resolution satellite imagery</w:t>
      </w:r>
      <w:r>
        <w:t xml:space="preserve"> </w:t>
      </w:r>
      <w:r>
        <w:t xml:space="preserve">(arXiv:2107.12283).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2026-06-02T17:12:45Z</dcterms:created>
  <dcterms:modified xsi:type="dcterms:W3CDTF">2026-06-02T17:12:45Z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