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ngày 30 tháng 04 năm 2022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>Phan Hoàng Minh Luân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>Trần Minh Tân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1DB7AB19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E94F92">
        <w:rPr>
          <w:rFonts w:ascii="Times New Roman" w:hAnsi="Times New Roman"/>
          <w:sz w:val="28"/>
          <w:szCs w:val="28"/>
          <w:lang w:val="en-US"/>
        </w:rPr>
        <w:t>01.219/2021/8088928/HĐTD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E7349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/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/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hóa đơn 85 hết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3,217,500,000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TNHH THƯƠNG MẠI SẢN XUẤT NHỰA NHẬT PHONG</w:t>
            </w:r>
          </w:p>
          <w:p>
            <w:pPr>
              <w:jc w:val="center"/>
            </w:pPr>
            <w:r>
              <w:rPr>
                <w:sz w:val="22"/>
              </w:rPr>
              <w:t>SỐ TK: 10511 0077 2008</w:t>
            </w:r>
          </w:p>
          <w:p>
            <w:pPr>
              <w:jc w:val="center"/>
            </w:pPr>
            <w:r>
              <w:rPr>
                <w:sz w:val="22"/>
              </w:rPr>
              <w:t>TẠI NH: MB-CN TÂN CẢNG, TP HCM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hóa đơn 263 lần 1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1,600,000,000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CỔ PHẦN ĐẦU TƯ HƯNG ĐÔNG</w:t>
            </w:r>
          </w:p>
          <w:p>
            <w:pPr>
              <w:jc w:val="center"/>
            </w:pPr>
            <w:r>
              <w:rPr>
                <w:sz w:val="22"/>
              </w:rPr>
              <w:t>SỐ TK: 1913.3901.3560.18</w:t>
            </w:r>
          </w:p>
          <w:p>
            <w:pPr>
              <w:jc w:val="center"/>
            </w:pPr>
            <w:r>
              <w:rPr>
                <w:sz w:val="22"/>
              </w:rPr>
              <w:t>TẠI NH: TCB - CN Bình Thạnh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hóa đơn 82 hết.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2,433,795,000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TNHH ĐẦU TƯ SAO MAI PHÚ QUỐC</w:t>
            </w:r>
          </w:p>
          <w:p>
            <w:pPr>
              <w:jc w:val="center"/>
            </w:pPr>
            <w:r>
              <w:rPr>
                <w:sz w:val="22"/>
              </w:rPr>
              <w:t>SÔ TK : 110601370868</w:t>
            </w:r>
          </w:p>
          <w:p>
            <w:pPr>
              <w:jc w:val="center"/>
            </w:pPr>
            <w:r>
              <w:rPr>
                <w:sz w:val="22"/>
              </w:rPr>
              <w:t>TẠI NGÂN HÀNG: VIETINBANK -CN4 PGD VĂN THÁNH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hóa đơn 33, 20 hết.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2,433,795,000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TNHH ĐẦU TƯ SAO MAI PHÚ QUỐC</w:t>
            </w:r>
          </w:p>
          <w:p>
            <w:pPr>
              <w:jc w:val="center"/>
            </w:pPr>
            <w:r>
              <w:rPr>
                <w:sz w:val="22"/>
              </w:rPr>
              <w:t>SÔ TK : 110601370868</w:t>
            </w:r>
          </w:p>
          <w:p>
            <w:pPr>
              <w:jc w:val="center"/>
            </w:pPr>
            <w:r>
              <w:rPr>
                <w:sz w:val="22"/>
              </w:rPr>
              <w:t>TẠI NGÂN HÀNG: VIETINBANK -CN4 PGD VĂN THÁNH</w:t>
            </w:r>
          </w:p>
        </w:tc>
      </w:tr>
      <w:tr>
        <w:tc>
          <w:tcPr>
            <w:gridSpan w:val="3"/>
            <w:vAlign w:val="center"/>
          </w:tcPr>
          <w:p>
            <w:pPr>
              <w:jc w:val="center"/>
            </w:pPr>
            <w:r>
              <w:t/>
            </w:r>
            <w:r>
              <w:rPr>
                <w:b w:val="on"/>
                <w:sz w:val="22"/>
              </w:rPr>
              <w:t>Tổng</w:t>
            </w:r>
            <w:r>
              <w:t/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/>
            </w:r>
            <w:r>
              <w:t/>
            </w:r>
            <w:r>
              <w:rPr>
                <w:sz w:val="22"/>
              </w:rPr>
              <w:t>10,181,371,050 VND (Bằng chữ: Mười tỷ, một trăm tám mươi mốt triệu, ba trăm bảy mươi mốt ngàn, năm mươi đồng chẵn.)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lastRenderedPageBreak/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2022-05-09T15:23:00Z</dcterms:created>
  <dc:creator>Phan Hoàng Minh Luân</dc:creator>
  <cp:lastModifiedBy>Phan Hoàng Minh Luân</cp:lastModifiedBy>
  <dcterms:modified xsi:type="dcterms:W3CDTF">2022-05-09T16:04:00Z</dcterms:modified>
  <cp:revision>16</cp:revision>
</cp:coreProperties>
</file>